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F9BEDD" w14:textId="77777777" w:rsidR="00FD1A6F" w:rsidRPr="000A3E55" w:rsidRDefault="0039737A" w:rsidP="00EA02E1">
      <w:pPr>
        <w:rPr>
          <w:b/>
          <w:bCs/>
        </w:rPr>
      </w:pPr>
      <w:r w:rsidRPr="000A3E55">
        <w:rPr>
          <w:b/>
          <w:bCs/>
        </w:rPr>
        <w:tab/>
      </w:r>
      <w:r w:rsidRPr="000A3E55">
        <w:rPr>
          <w:b/>
          <w:bCs/>
        </w:rPr>
        <w:tab/>
      </w:r>
      <w:r w:rsidRPr="000A3E55">
        <w:rPr>
          <w:b/>
          <w:bCs/>
        </w:rPr>
        <w:tab/>
      </w:r>
      <w:r w:rsidRPr="000A3E55">
        <w:rPr>
          <w:b/>
          <w:bCs/>
        </w:rPr>
        <w:tab/>
      </w:r>
      <w:r w:rsidRPr="000A3E55">
        <w:rPr>
          <w:b/>
          <w:bCs/>
        </w:rPr>
        <w:tab/>
      </w:r>
      <w:r w:rsidRPr="000A3E55">
        <w:rPr>
          <w:b/>
          <w:bCs/>
        </w:rPr>
        <w:tab/>
      </w:r>
      <w:r w:rsidRPr="000A3E55">
        <w:rPr>
          <w:b/>
          <w:bCs/>
        </w:rPr>
        <w:tab/>
      </w:r>
      <w:r w:rsidRPr="000A3E55">
        <w:rPr>
          <w:b/>
          <w:bCs/>
        </w:rPr>
        <w:tab/>
      </w:r>
      <w:r w:rsidRPr="000A3E55">
        <w:rPr>
          <w:b/>
          <w:bCs/>
        </w:rPr>
        <w:tab/>
      </w:r>
    </w:p>
    <w:p w14:paraId="7F1C0E15" w14:textId="68CF58B6" w:rsidR="004F3512" w:rsidRPr="00130674" w:rsidRDefault="004F3512" w:rsidP="00130674">
      <w:pPr>
        <w:rPr>
          <w:b/>
          <w:sz w:val="28"/>
          <w:szCs w:val="28"/>
          <w:lang w:val="en-US"/>
        </w:rPr>
      </w:pPr>
      <w:r w:rsidRPr="00130674">
        <w:rPr>
          <w:b/>
          <w:sz w:val="28"/>
          <w:szCs w:val="28"/>
          <w:lang w:val="en-US"/>
        </w:rPr>
        <w:t>Applicati</w:t>
      </w:r>
      <w:r w:rsidR="00130674">
        <w:rPr>
          <w:b/>
          <w:sz w:val="28"/>
          <w:szCs w:val="28"/>
          <w:lang w:val="en-US"/>
        </w:rPr>
        <w:t xml:space="preserve">on Form for </w:t>
      </w:r>
      <w:proofErr w:type="spellStart"/>
      <w:r w:rsidR="00130674">
        <w:rPr>
          <w:b/>
          <w:sz w:val="28"/>
          <w:szCs w:val="28"/>
          <w:lang w:val="en-US"/>
        </w:rPr>
        <w:t>authorisation</w:t>
      </w:r>
      <w:proofErr w:type="spellEnd"/>
      <w:r w:rsidR="00130674">
        <w:rPr>
          <w:b/>
          <w:sz w:val="28"/>
          <w:szCs w:val="28"/>
          <w:lang w:val="en-US"/>
        </w:rPr>
        <w:t xml:space="preserve"> as a </w:t>
      </w:r>
      <w:r w:rsidR="00130674" w:rsidRPr="007350A6">
        <w:rPr>
          <w:b/>
          <w:sz w:val="28"/>
          <w:szCs w:val="28"/>
          <w:lang w:val="en-US"/>
        </w:rPr>
        <w:t>t</w:t>
      </w:r>
      <w:r w:rsidR="002E3065" w:rsidRPr="007350A6">
        <w:rPr>
          <w:b/>
          <w:sz w:val="28"/>
          <w:szCs w:val="28"/>
          <w:lang w:val="en-US"/>
        </w:rPr>
        <w:t xml:space="preserve">hird country </w:t>
      </w:r>
      <w:r w:rsidR="00130674" w:rsidRPr="007350A6">
        <w:rPr>
          <w:b/>
          <w:sz w:val="28"/>
          <w:szCs w:val="28"/>
          <w:lang w:val="en-US"/>
        </w:rPr>
        <w:t>investment firm</w:t>
      </w:r>
      <w:r w:rsidR="006751B6" w:rsidRPr="006751B6">
        <w:rPr>
          <w:b/>
          <w:sz w:val="28"/>
          <w:szCs w:val="28"/>
          <w:lang w:val="en-US"/>
        </w:rPr>
        <w:t xml:space="preserve"> </w:t>
      </w:r>
      <w:r w:rsidR="00997128">
        <w:rPr>
          <w:b/>
          <w:sz w:val="28"/>
          <w:szCs w:val="28"/>
          <w:lang w:val="en-US"/>
        </w:rPr>
        <w:t>(</w:t>
      </w:r>
      <w:r w:rsidR="0078423B">
        <w:rPr>
          <w:b/>
          <w:sz w:val="28"/>
          <w:szCs w:val="28"/>
          <w:lang w:val="en-US"/>
        </w:rPr>
        <w:t xml:space="preserve">article </w:t>
      </w:r>
      <w:r w:rsidR="00997128">
        <w:rPr>
          <w:b/>
          <w:sz w:val="28"/>
          <w:szCs w:val="28"/>
          <w:lang w:val="en-US"/>
        </w:rPr>
        <w:t xml:space="preserve">2:99a </w:t>
      </w:r>
      <w:r w:rsidR="00265FDF">
        <w:rPr>
          <w:b/>
          <w:sz w:val="28"/>
          <w:szCs w:val="28"/>
          <w:lang w:val="en-US"/>
        </w:rPr>
        <w:t xml:space="preserve">and 2:99b </w:t>
      </w:r>
      <w:proofErr w:type="spellStart"/>
      <w:r w:rsidR="00130674">
        <w:rPr>
          <w:b/>
          <w:sz w:val="28"/>
          <w:szCs w:val="28"/>
          <w:lang w:val="en-US"/>
        </w:rPr>
        <w:t>Wft</w:t>
      </w:r>
      <w:proofErr w:type="spellEnd"/>
      <w:r w:rsidR="00130674">
        <w:rPr>
          <w:rStyle w:val="FootnoteReference"/>
          <w:b/>
          <w:sz w:val="28"/>
          <w:szCs w:val="28"/>
          <w:lang w:val="en-US"/>
        </w:rPr>
        <w:footnoteReference w:id="1"/>
      </w:r>
      <w:r w:rsidR="00130674" w:rsidRPr="00130674">
        <w:rPr>
          <w:b/>
          <w:sz w:val="28"/>
          <w:szCs w:val="28"/>
          <w:lang w:val="en-US"/>
        </w:rPr>
        <w:t>)</w:t>
      </w:r>
    </w:p>
    <w:p w14:paraId="725527BF" w14:textId="77777777" w:rsidR="004F3512" w:rsidRDefault="004F3512" w:rsidP="00DD06FF"/>
    <w:p w14:paraId="47E2CEC9" w14:textId="77777777" w:rsidR="009C424D" w:rsidRDefault="009C424D" w:rsidP="00DD06FF">
      <w:r>
        <w:t>For information on if this is the correct form for you to use, we refer you to the Explanatory Notes at the end of this form.</w:t>
      </w:r>
    </w:p>
    <w:p w14:paraId="6323CD5C" w14:textId="77777777" w:rsidR="00DD06FF" w:rsidRDefault="00DD06FF" w:rsidP="00DD06FF">
      <w:r>
        <w:t xml:space="preserve">Through this form you apply for a license for performing investment services in the Netherlands, while having a registered office in a third country. To be able to fully assess the application, we need you to fill out the annexes in this form. </w:t>
      </w:r>
    </w:p>
    <w:p w14:paraId="6F8A222D" w14:textId="77777777" w:rsidR="00DD06FF" w:rsidRDefault="00DD06FF" w:rsidP="00DD06FF">
      <w:r>
        <w:t>Furthermore we need the following information:</w:t>
      </w:r>
    </w:p>
    <w:p w14:paraId="214E1DCC" w14:textId="77777777" w:rsidR="00DD06FF" w:rsidRPr="002E24BC" w:rsidRDefault="00C6146E" w:rsidP="00DD06FF">
      <w:r>
        <w:t>Person in charge of this application:</w:t>
      </w:r>
    </w:p>
    <w:tbl>
      <w:tblPr>
        <w:tblW w:w="9660" w:type="dxa"/>
        <w:tblBorders>
          <w:top w:val="single" w:sz="12" w:space="0" w:color="008000"/>
          <w:bottom w:val="single" w:sz="12" w:space="0" w:color="008000"/>
        </w:tblBorders>
        <w:tblLayout w:type="fixed"/>
        <w:tblCellMar>
          <w:left w:w="0" w:type="dxa"/>
          <w:right w:w="0" w:type="dxa"/>
        </w:tblCellMar>
        <w:tblLook w:val="0200" w:firstRow="0" w:lastRow="0" w:firstColumn="0" w:lastColumn="0" w:noHBand="1" w:noVBand="0"/>
      </w:tblPr>
      <w:tblGrid>
        <w:gridCol w:w="4688"/>
        <w:gridCol w:w="144"/>
        <w:gridCol w:w="4828"/>
      </w:tblGrid>
      <w:tr w:rsidR="00C6146E" w:rsidRPr="000A3E55" w14:paraId="5C1D5E5C" w14:textId="77777777" w:rsidTr="00C6146E">
        <w:tc>
          <w:tcPr>
            <w:tcW w:w="4688" w:type="dxa"/>
            <w:tcBorders>
              <w:top w:val="single" w:sz="4" w:space="0" w:color="auto"/>
              <w:left w:val="nil"/>
              <w:bottom w:val="single" w:sz="4" w:space="0" w:color="auto"/>
              <w:right w:val="nil"/>
            </w:tcBorders>
            <w:shd w:val="pct5" w:color="auto" w:fill="FFFFFF"/>
          </w:tcPr>
          <w:p w14:paraId="4CD9E1EB" w14:textId="77777777" w:rsidR="00C6146E" w:rsidRPr="000A3E55" w:rsidRDefault="00C6146E" w:rsidP="001B480D">
            <w:pPr>
              <w:spacing w:after="0" w:line="240" w:lineRule="auto"/>
              <w:rPr>
                <w:rFonts w:ascii="Calibri" w:eastAsia="Times" w:hAnsi="Calibri" w:cs="Arial"/>
                <w:bCs/>
              </w:rPr>
            </w:pPr>
            <w:r>
              <w:rPr>
                <w:rFonts w:ascii="Calibri" w:hAnsi="Calibri"/>
                <w:bCs/>
              </w:rPr>
              <w:t>Name:</w:t>
            </w:r>
          </w:p>
          <w:p w14:paraId="5DBCC0CC" w14:textId="77777777" w:rsidR="00C6146E" w:rsidRPr="000A3E55" w:rsidRDefault="00C6146E" w:rsidP="001B480D">
            <w:pPr>
              <w:spacing w:after="0" w:line="240" w:lineRule="auto"/>
              <w:rPr>
                <w:rFonts w:ascii="Calibri" w:eastAsia="Times" w:hAnsi="Calibri" w:cs="Arial"/>
                <w:bCs/>
              </w:rPr>
            </w:pPr>
          </w:p>
        </w:tc>
        <w:tc>
          <w:tcPr>
            <w:tcW w:w="144" w:type="dxa"/>
            <w:tcBorders>
              <w:top w:val="single" w:sz="4" w:space="0" w:color="auto"/>
              <w:left w:val="nil"/>
              <w:bottom w:val="single" w:sz="4" w:space="0" w:color="auto"/>
              <w:right w:val="nil"/>
            </w:tcBorders>
            <w:shd w:val="pct12" w:color="auto" w:fill="FFFFFF"/>
          </w:tcPr>
          <w:p w14:paraId="2D3D3671" w14:textId="77777777" w:rsidR="00C6146E" w:rsidRPr="000A3E55" w:rsidRDefault="00C6146E" w:rsidP="001B480D">
            <w:pPr>
              <w:spacing w:after="0" w:line="240" w:lineRule="auto"/>
              <w:rPr>
                <w:rFonts w:ascii="Calibri" w:eastAsia="Times" w:hAnsi="Calibri" w:cs="Arial"/>
                <w:sz w:val="20"/>
                <w:szCs w:val="20"/>
              </w:rPr>
            </w:pPr>
          </w:p>
        </w:tc>
        <w:tc>
          <w:tcPr>
            <w:tcW w:w="4828" w:type="dxa"/>
            <w:tcBorders>
              <w:top w:val="single" w:sz="4" w:space="0" w:color="auto"/>
              <w:left w:val="nil"/>
              <w:bottom w:val="single" w:sz="4" w:space="0" w:color="auto"/>
              <w:right w:val="nil"/>
            </w:tcBorders>
          </w:tcPr>
          <w:p w14:paraId="205E48D9" w14:textId="77777777" w:rsidR="00C6146E" w:rsidRPr="000A3E55" w:rsidRDefault="00C6146E" w:rsidP="001B480D">
            <w:pPr>
              <w:spacing w:after="0" w:line="240" w:lineRule="auto"/>
              <w:rPr>
                <w:rFonts w:ascii="Calibri" w:eastAsia="Times" w:hAnsi="Calibri" w:cs="Arial"/>
                <w:sz w:val="20"/>
                <w:szCs w:val="20"/>
              </w:rPr>
            </w:pPr>
          </w:p>
        </w:tc>
      </w:tr>
      <w:tr w:rsidR="00C6146E" w:rsidRPr="000A3E55" w14:paraId="4FDDC077" w14:textId="77777777" w:rsidTr="00C6146E">
        <w:tblPrEx>
          <w:tblLook w:val="04A0" w:firstRow="1" w:lastRow="0" w:firstColumn="1" w:lastColumn="0" w:noHBand="0" w:noVBand="1"/>
        </w:tblPrEx>
        <w:tc>
          <w:tcPr>
            <w:tcW w:w="4688" w:type="dxa"/>
            <w:tcBorders>
              <w:top w:val="single" w:sz="4" w:space="0" w:color="auto"/>
              <w:left w:val="nil"/>
              <w:bottom w:val="single" w:sz="4" w:space="0" w:color="auto"/>
              <w:right w:val="nil"/>
            </w:tcBorders>
            <w:shd w:val="pct5" w:color="auto" w:fill="FFFFFF"/>
          </w:tcPr>
          <w:p w14:paraId="6DB9CBBB" w14:textId="77777777" w:rsidR="00C6146E" w:rsidRPr="000A3E55" w:rsidRDefault="00C6146E" w:rsidP="001B480D">
            <w:pPr>
              <w:spacing w:after="0" w:line="240" w:lineRule="auto"/>
              <w:rPr>
                <w:rFonts w:ascii="Calibri" w:eastAsia="Times" w:hAnsi="Calibri" w:cs="Arial"/>
              </w:rPr>
            </w:pPr>
            <w:r>
              <w:rPr>
                <w:rFonts w:ascii="Calibri" w:hAnsi="Calibri"/>
                <w:bCs/>
              </w:rPr>
              <w:t>Firm (for external advisor to the application)</w:t>
            </w:r>
            <w:r w:rsidR="00265FDF">
              <w:rPr>
                <w:rStyle w:val="FootnoteReference"/>
                <w:rFonts w:ascii="Calibri" w:hAnsi="Calibri"/>
                <w:bCs/>
              </w:rPr>
              <w:footnoteReference w:id="2"/>
            </w:r>
          </w:p>
          <w:p w14:paraId="0BC9BCBF" w14:textId="77777777" w:rsidR="00C6146E" w:rsidRPr="000A3E55" w:rsidRDefault="00C6146E" w:rsidP="001B480D">
            <w:pPr>
              <w:spacing w:after="0" w:line="240" w:lineRule="auto"/>
              <w:rPr>
                <w:rFonts w:ascii="Calibri" w:eastAsia="Times" w:hAnsi="Calibri" w:cs="Arial"/>
              </w:rPr>
            </w:pPr>
          </w:p>
        </w:tc>
        <w:tc>
          <w:tcPr>
            <w:tcW w:w="144" w:type="dxa"/>
            <w:tcBorders>
              <w:top w:val="single" w:sz="4" w:space="0" w:color="auto"/>
              <w:left w:val="nil"/>
              <w:bottom w:val="single" w:sz="4" w:space="0" w:color="auto"/>
              <w:right w:val="nil"/>
            </w:tcBorders>
            <w:shd w:val="pct12" w:color="auto" w:fill="FFFFFF"/>
          </w:tcPr>
          <w:p w14:paraId="555AAFF2" w14:textId="77777777" w:rsidR="00C6146E" w:rsidRPr="000A3E55" w:rsidRDefault="00C6146E" w:rsidP="001B480D">
            <w:pPr>
              <w:spacing w:after="0" w:line="240" w:lineRule="auto"/>
              <w:rPr>
                <w:rFonts w:ascii="Calibri" w:eastAsia="Times" w:hAnsi="Calibri" w:cs="Arial"/>
                <w:sz w:val="20"/>
                <w:szCs w:val="20"/>
              </w:rPr>
            </w:pPr>
          </w:p>
        </w:tc>
        <w:tc>
          <w:tcPr>
            <w:tcW w:w="4828" w:type="dxa"/>
            <w:tcBorders>
              <w:top w:val="nil"/>
              <w:left w:val="nil"/>
              <w:bottom w:val="single" w:sz="4" w:space="0" w:color="auto"/>
              <w:right w:val="nil"/>
            </w:tcBorders>
          </w:tcPr>
          <w:p w14:paraId="131CB879" w14:textId="77777777" w:rsidR="00C6146E" w:rsidRPr="000A3E55" w:rsidRDefault="00C6146E" w:rsidP="001B480D">
            <w:pPr>
              <w:spacing w:after="0" w:line="240" w:lineRule="auto"/>
              <w:rPr>
                <w:rFonts w:ascii="Calibri" w:eastAsia="Times" w:hAnsi="Calibri" w:cs="Arial"/>
                <w:sz w:val="20"/>
                <w:szCs w:val="20"/>
              </w:rPr>
            </w:pPr>
          </w:p>
        </w:tc>
      </w:tr>
      <w:tr w:rsidR="00C6146E" w:rsidRPr="000A3E55" w14:paraId="7EDB6B00" w14:textId="77777777" w:rsidTr="00C6146E">
        <w:tblPrEx>
          <w:tblLook w:val="04A0" w:firstRow="1" w:lastRow="0" w:firstColumn="1" w:lastColumn="0" w:noHBand="0" w:noVBand="1"/>
        </w:tblPrEx>
        <w:tc>
          <w:tcPr>
            <w:tcW w:w="4688" w:type="dxa"/>
            <w:tcBorders>
              <w:top w:val="single" w:sz="4" w:space="0" w:color="auto"/>
              <w:left w:val="nil"/>
              <w:bottom w:val="single" w:sz="4" w:space="0" w:color="auto"/>
              <w:right w:val="nil"/>
            </w:tcBorders>
            <w:shd w:val="pct5" w:color="auto" w:fill="FFFFFF"/>
          </w:tcPr>
          <w:p w14:paraId="092D6C27" w14:textId="77777777" w:rsidR="00C6146E" w:rsidRPr="000A3E55" w:rsidRDefault="00C6146E" w:rsidP="001B480D">
            <w:pPr>
              <w:spacing w:after="0" w:line="240" w:lineRule="auto"/>
              <w:rPr>
                <w:rFonts w:ascii="Calibri" w:eastAsia="Times" w:hAnsi="Calibri" w:cs="Arial"/>
                <w:bCs/>
              </w:rPr>
            </w:pPr>
            <w:r>
              <w:rPr>
                <w:rFonts w:ascii="Calibri" w:hAnsi="Calibri"/>
                <w:bCs/>
              </w:rPr>
              <w:t>Email address</w:t>
            </w:r>
          </w:p>
          <w:p w14:paraId="2E9ABC42" w14:textId="77777777" w:rsidR="00C6146E" w:rsidRPr="000A3E55" w:rsidRDefault="00C6146E" w:rsidP="001B480D">
            <w:pPr>
              <w:spacing w:after="0" w:line="240" w:lineRule="auto"/>
              <w:rPr>
                <w:rFonts w:ascii="Calibri" w:eastAsia="Times" w:hAnsi="Calibri" w:cs="Arial"/>
                <w:bCs/>
              </w:rPr>
            </w:pPr>
          </w:p>
        </w:tc>
        <w:tc>
          <w:tcPr>
            <w:tcW w:w="144" w:type="dxa"/>
            <w:tcBorders>
              <w:top w:val="single" w:sz="4" w:space="0" w:color="auto"/>
              <w:left w:val="nil"/>
              <w:bottom w:val="single" w:sz="4" w:space="0" w:color="auto"/>
              <w:right w:val="nil"/>
            </w:tcBorders>
            <w:shd w:val="pct12" w:color="auto" w:fill="FFFFFF"/>
          </w:tcPr>
          <w:p w14:paraId="0134EA46" w14:textId="77777777" w:rsidR="00C6146E" w:rsidRPr="000A3E55" w:rsidRDefault="00C6146E" w:rsidP="001B480D">
            <w:pPr>
              <w:spacing w:after="0" w:line="240" w:lineRule="auto"/>
              <w:rPr>
                <w:rFonts w:ascii="Calibri" w:eastAsia="Times" w:hAnsi="Calibri" w:cs="Arial"/>
                <w:sz w:val="20"/>
                <w:szCs w:val="20"/>
              </w:rPr>
            </w:pPr>
          </w:p>
        </w:tc>
        <w:tc>
          <w:tcPr>
            <w:tcW w:w="4828" w:type="dxa"/>
            <w:tcBorders>
              <w:top w:val="nil"/>
              <w:left w:val="nil"/>
              <w:bottom w:val="single" w:sz="4" w:space="0" w:color="auto"/>
              <w:right w:val="nil"/>
            </w:tcBorders>
          </w:tcPr>
          <w:p w14:paraId="660C3F0B" w14:textId="77777777" w:rsidR="00C6146E" w:rsidRPr="000A3E55" w:rsidRDefault="00C6146E" w:rsidP="001B480D">
            <w:pPr>
              <w:spacing w:after="0" w:line="240" w:lineRule="auto"/>
              <w:rPr>
                <w:rFonts w:ascii="Calibri" w:eastAsia="Times" w:hAnsi="Calibri" w:cs="Arial"/>
                <w:sz w:val="20"/>
                <w:szCs w:val="20"/>
              </w:rPr>
            </w:pPr>
          </w:p>
        </w:tc>
      </w:tr>
      <w:tr w:rsidR="00C6146E" w:rsidRPr="000A3E55" w14:paraId="382AD162" w14:textId="77777777" w:rsidTr="00C6146E">
        <w:tblPrEx>
          <w:tblLook w:val="04A0" w:firstRow="1" w:lastRow="0" w:firstColumn="1" w:lastColumn="0" w:noHBand="0" w:noVBand="1"/>
        </w:tblPrEx>
        <w:tc>
          <w:tcPr>
            <w:tcW w:w="4688" w:type="dxa"/>
            <w:tcBorders>
              <w:top w:val="single" w:sz="4" w:space="0" w:color="auto"/>
              <w:left w:val="nil"/>
              <w:bottom w:val="single" w:sz="4" w:space="0" w:color="auto"/>
              <w:right w:val="nil"/>
            </w:tcBorders>
            <w:shd w:val="pct5" w:color="auto" w:fill="FFFFFF"/>
          </w:tcPr>
          <w:p w14:paraId="42A4DAC8" w14:textId="77777777" w:rsidR="00C6146E" w:rsidRPr="000A3E55" w:rsidRDefault="00C6146E" w:rsidP="001B480D">
            <w:pPr>
              <w:spacing w:after="0" w:line="240" w:lineRule="auto"/>
              <w:rPr>
                <w:rFonts w:ascii="Calibri" w:eastAsia="Times" w:hAnsi="Calibri" w:cs="Arial"/>
                <w:i/>
                <w:iCs/>
              </w:rPr>
            </w:pPr>
            <w:r>
              <w:rPr>
                <w:rFonts w:ascii="Calibri" w:hAnsi="Calibri"/>
                <w:bCs/>
              </w:rPr>
              <w:t>Telephone number</w:t>
            </w:r>
            <w:r w:rsidR="00F62643">
              <w:rPr>
                <w:rFonts w:ascii="Calibri" w:hAnsi="Calibri"/>
                <w:bCs/>
              </w:rPr>
              <w:t>(s)</w:t>
            </w:r>
          </w:p>
          <w:p w14:paraId="496A0731" w14:textId="77777777" w:rsidR="00C6146E" w:rsidRPr="000A3E55" w:rsidRDefault="00C6146E" w:rsidP="001B480D">
            <w:pPr>
              <w:spacing w:after="0" w:line="240" w:lineRule="auto"/>
              <w:rPr>
                <w:rFonts w:ascii="Calibri" w:eastAsia="Times" w:hAnsi="Calibri" w:cs="Arial"/>
                <w:i/>
                <w:iCs/>
              </w:rPr>
            </w:pPr>
          </w:p>
        </w:tc>
        <w:tc>
          <w:tcPr>
            <w:tcW w:w="144" w:type="dxa"/>
            <w:tcBorders>
              <w:top w:val="single" w:sz="4" w:space="0" w:color="auto"/>
              <w:left w:val="nil"/>
              <w:bottom w:val="single" w:sz="4" w:space="0" w:color="auto"/>
              <w:right w:val="nil"/>
            </w:tcBorders>
            <w:shd w:val="pct12" w:color="auto" w:fill="FFFFFF"/>
          </w:tcPr>
          <w:p w14:paraId="03A2C928" w14:textId="77777777" w:rsidR="00C6146E" w:rsidRPr="000A3E55" w:rsidRDefault="00C6146E" w:rsidP="001B480D">
            <w:pPr>
              <w:spacing w:after="0" w:line="240" w:lineRule="auto"/>
              <w:rPr>
                <w:rFonts w:ascii="Calibri" w:eastAsia="Times" w:hAnsi="Calibri" w:cs="Arial"/>
                <w:sz w:val="20"/>
                <w:szCs w:val="20"/>
              </w:rPr>
            </w:pPr>
          </w:p>
        </w:tc>
        <w:tc>
          <w:tcPr>
            <w:tcW w:w="4828" w:type="dxa"/>
            <w:tcBorders>
              <w:top w:val="nil"/>
              <w:left w:val="nil"/>
              <w:bottom w:val="single" w:sz="4" w:space="0" w:color="auto"/>
              <w:right w:val="nil"/>
            </w:tcBorders>
          </w:tcPr>
          <w:p w14:paraId="170BBBA8" w14:textId="77777777" w:rsidR="00C6146E" w:rsidRPr="000A3E55" w:rsidRDefault="00C6146E" w:rsidP="001B480D">
            <w:pPr>
              <w:spacing w:after="0" w:line="240" w:lineRule="auto"/>
              <w:rPr>
                <w:rFonts w:ascii="Calibri" w:eastAsia="Times" w:hAnsi="Calibri" w:cs="Arial"/>
                <w:sz w:val="20"/>
                <w:szCs w:val="20"/>
              </w:rPr>
            </w:pPr>
          </w:p>
        </w:tc>
      </w:tr>
    </w:tbl>
    <w:p w14:paraId="5DAF5CAA" w14:textId="77777777" w:rsidR="00C6146E" w:rsidRDefault="00C6146E" w:rsidP="004F3512"/>
    <w:p w14:paraId="2B82CB36" w14:textId="77777777" w:rsidR="00F62643" w:rsidRDefault="009C424D" w:rsidP="004F3512">
      <w:r>
        <w:t>This application is based on</w:t>
      </w:r>
      <w:r w:rsidR="002045B2">
        <w:t xml:space="preserve"> (choose one of the options)</w:t>
      </w:r>
      <w:r>
        <w:t>:</w:t>
      </w:r>
    </w:p>
    <w:p w14:paraId="53BAAE35" w14:textId="77777777" w:rsidR="009C424D" w:rsidRDefault="009C424D" w:rsidP="002045B2">
      <w:pPr>
        <w:pStyle w:val="ListParagraph"/>
        <w:numPr>
          <w:ilvl w:val="0"/>
          <w:numId w:val="35"/>
        </w:numPr>
      </w:pPr>
      <w:r>
        <w:t xml:space="preserve">Article 2:99a </w:t>
      </w:r>
      <w:proofErr w:type="spellStart"/>
      <w:r>
        <w:t>Wft</w:t>
      </w:r>
      <w:proofErr w:type="spellEnd"/>
      <w:r w:rsidR="002045B2">
        <w:t xml:space="preserve">, for investment firms that have </w:t>
      </w:r>
      <w:proofErr w:type="spellStart"/>
      <w:r w:rsidR="002045B2">
        <w:t>non professional</w:t>
      </w:r>
      <w:proofErr w:type="spellEnd"/>
      <w:r w:rsidR="002045B2">
        <w:t xml:space="preserve"> clients</w:t>
      </w:r>
      <w:r w:rsidR="0078423B">
        <w:t xml:space="preserve"> or professional clients within the meaning of Section II of Annex II to Directive 2014/65/EU</w:t>
      </w:r>
    </w:p>
    <w:p w14:paraId="3BBA0E0E" w14:textId="77777777" w:rsidR="002045B2" w:rsidRDefault="002045B2" w:rsidP="002045B2">
      <w:pPr>
        <w:pStyle w:val="ListParagraph"/>
      </w:pPr>
    </w:p>
    <w:p w14:paraId="6BBA1104" w14:textId="77777777" w:rsidR="009C424D" w:rsidRPr="002E24BC" w:rsidRDefault="009C424D" w:rsidP="002045B2">
      <w:pPr>
        <w:pStyle w:val="ListParagraph"/>
        <w:numPr>
          <w:ilvl w:val="0"/>
          <w:numId w:val="35"/>
        </w:numPr>
      </w:pPr>
      <w:r>
        <w:t xml:space="preserve">Article 2:99b </w:t>
      </w:r>
      <w:proofErr w:type="spellStart"/>
      <w:r>
        <w:t>Wft</w:t>
      </w:r>
      <w:proofErr w:type="spellEnd"/>
      <w:r w:rsidR="002045B2">
        <w:t xml:space="preserve">, for investment firms that have </w:t>
      </w:r>
      <w:r w:rsidR="002045B2">
        <w:rPr>
          <w:bCs/>
          <w:lang w:val="en-US"/>
        </w:rPr>
        <w:t>only eligible counterparties and professional clients within the meaning of Section I of Annex II to Directive 2014/65/EU</w:t>
      </w:r>
    </w:p>
    <w:p w14:paraId="5C2BAFCD" w14:textId="77777777" w:rsidR="002E3065" w:rsidRDefault="002E3065" w:rsidP="004F3512">
      <w:pPr>
        <w:rPr>
          <w:b/>
        </w:rPr>
      </w:pPr>
    </w:p>
    <w:p w14:paraId="1304344D" w14:textId="77777777" w:rsidR="002E3065" w:rsidRDefault="002E3065">
      <w:pPr>
        <w:rPr>
          <w:b/>
        </w:rPr>
      </w:pPr>
      <w:r>
        <w:rPr>
          <w:b/>
        </w:rPr>
        <w:br w:type="page"/>
      </w:r>
    </w:p>
    <w:p w14:paraId="235725DF" w14:textId="77777777" w:rsidR="00DB41CD" w:rsidRPr="004F3512" w:rsidRDefault="00CC4047" w:rsidP="004F3512">
      <w:pPr>
        <w:rPr>
          <w:lang w:val="en-US"/>
        </w:rPr>
      </w:pPr>
      <w:r>
        <w:rPr>
          <w:b/>
        </w:rPr>
        <w:lastRenderedPageBreak/>
        <w:t>Annex</w:t>
      </w:r>
      <w:r w:rsidR="00265FDF">
        <w:rPr>
          <w:rFonts w:eastAsia="Times New Roman" w:cs="Arial"/>
          <w:b/>
          <w:bCs/>
        </w:rPr>
        <w:t xml:space="preserve"> </w:t>
      </w:r>
      <w:r w:rsidR="00C20431" w:rsidRPr="000A3E55">
        <w:rPr>
          <w:b/>
        </w:rPr>
        <w:t>1</w:t>
      </w:r>
      <w:r>
        <w:rPr>
          <w:b/>
        </w:rPr>
        <w:t xml:space="preserve"> </w:t>
      </w:r>
      <w:r w:rsidR="00C20431" w:rsidRPr="000A3E55">
        <w:rPr>
          <w:b/>
        </w:rPr>
        <w:t>General information concerni</w:t>
      </w:r>
      <w:r w:rsidR="00005FED">
        <w:rPr>
          <w:b/>
        </w:rPr>
        <w:t>ng the firm (as referred to in a</w:t>
      </w:r>
      <w:r w:rsidR="00C20431" w:rsidRPr="000A3E55">
        <w:rPr>
          <w:b/>
        </w:rPr>
        <w:t xml:space="preserve">rticle 1 of </w:t>
      </w:r>
      <w:r w:rsidR="0049458B">
        <w:rPr>
          <w:b/>
        </w:rPr>
        <w:t>DR</w:t>
      </w:r>
      <w:r w:rsidR="00C20431" w:rsidRPr="000A3E55">
        <w:rPr>
          <w:b/>
        </w:rPr>
        <w:t xml:space="preserve"> 2017/1943</w:t>
      </w:r>
      <w:r w:rsidR="003771F8" w:rsidRPr="000A3E55">
        <w:rPr>
          <w:rStyle w:val="FootnoteReference"/>
          <w:b/>
        </w:rPr>
        <w:footnoteReference w:id="3"/>
      </w:r>
      <w:r w:rsidR="00C20431" w:rsidRPr="000A3E55">
        <w:rPr>
          <w:b/>
        </w:rPr>
        <w:t>)</w:t>
      </w:r>
    </w:p>
    <w:p w14:paraId="6154A2D1" w14:textId="77777777" w:rsidR="00DB41CD" w:rsidRPr="000A3E55" w:rsidRDefault="00DB41CD" w:rsidP="00DB41CD">
      <w:pPr>
        <w:tabs>
          <w:tab w:val="left" w:pos="426"/>
        </w:tabs>
        <w:spacing w:after="0" w:line="240" w:lineRule="auto"/>
        <w:outlineLvl w:val="0"/>
        <w:rPr>
          <w:rFonts w:ascii="Calibri" w:eastAsia="Times New Roman" w:hAnsi="Calibri" w:cs="Arial"/>
          <w:sz w:val="20"/>
          <w:szCs w:val="20"/>
        </w:rPr>
      </w:pPr>
    </w:p>
    <w:tbl>
      <w:tblPr>
        <w:tblW w:w="9660" w:type="dxa"/>
        <w:tblBorders>
          <w:top w:val="single" w:sz="12" w:space="0" w:color="008000"/>
          <w:bottom w:val="single" w:sz="12" w:space="0" w:color="008000"/>
        </w:tblBorders>
        <w:tblLayout w:type="fixed"/>
        <w:tblCellMar>
          <w:left w:w="0" w:type="dxa"/>
          <w:right w:w="0" w:type="dxa"/>
        </w:tblCellMar>
        <w:tblLook w:val="0200" w:firstRow="0" w:lastRow="0" w:firstColumn="0" w:lastColumn="0" w:noHBand="1" w:noVBand="0"/>
      </w:tblPr>
      <w:tblGrid>
        <w:gridCol w:w="4678"/>
        <w:gridCol w:w="144"/>
        <w:gridCol w:w="4819"/>
        <w:gridCol w:w="19"/>
      </w:tblGrid>
      <w:tr w:rsidR="00DB41CD" w:rsidRPr="000A3E55" w14:paraId="4D0A0597" w14:textId="77777777" w:rsidTr="002C5F33">
        <w:trPr>
          <w:gridAfter w:val="1"/>
          <w:wAfter w:w="19" w:type="dxa"/>
        </w:trPr>
        <w:tc>
          <w:tcPr>
            <w:tcW w:w="4678" w:type="dxa"/>
            <w:tcBorders>
              <w:top w:val="single" w:sz="4" w:space="0" w:color="auto"/>
              <w:left w:val="nil"/>
              <w:bottom w:val="single" w:sz="4" w:space="0" w:color="auto"/>
              <w:right w:val="nil"/>
            </w:tcBorders>
            <w:shd w:val="pct5" w:color="auto" w:fill="FFFFFF"/>
          </w:tcPr>
          <w:p w14:paraId="06F71EB8" w14:textId="77777777" w:rsidR="00DB41CD" w:rsidRPr="000A3E55" w:rsidRDefault="00DB41CD" w:rsidP="00DB41CD">
            <w:pPr>
              <w:spacing w:after="0" w:line="240" w:lineRule="auto"/>
              <w:rPr>
                <w:rFonts w:ascii="Calibri" w:eastAsia="Times" w:hAnsi="Calibri" w:cs="Arial"/>
                <w:bCs/>
              </w:rPr>
            </w:pPr>
            <w:r w:rsidRPr="000A3E55">
              <w:rPr>
                <w:rFonts w:ascii="Calibri" w:hAnsi="Calibri"/>
                <w:bCs/>
              </w:rPr>
              <w:t xml:space="preserve">Name </w:t>
            </w:r>
            <w:r w:rsidR="00CC4047">
              <w:rPr>
                <w:rFonts w:ascii="Calibri" w:hAnsi="Calibri"/>
                <w:bCs/>
              </w:rPr>
              <w:t>legal entity</w:t>
            </w:r>
          </w:p>
          <w:p w14:paraId="516236CF" w14:textId="77777777" w:rsidR="00DB41CD" w:rsidRPr="000A3E55" w:rsidRDefault="00DB41CD" w:rsidP="00DB41CD">
            <w:pPr>
              <w:spacing w:after="0" w:line="240" w:lineRule="auto"/>
              <w:rPr>
                <w:rFonts w:ascii="Calibri" w:eastAsia="Times" w:hAnsi="Calibri" w:cs="Arial"/>
                <w:bCs/>
              </w:rPr>
            </w:pPr>
          </w:p>
        </w:tc>
        <w:tc>
          <w:tcPr>
            <w:tcW w:w="144" w:type="dxa"/>
            <w:tcBorders>
              <w:top w:val="single" w:sz="4" w:space="0" w:color="auto"/>
              <w:left w:val="nil"/>
              <w:bottom w:val="single" w:sz="4" w:space="0" w:color="auto"/>
              <w:right w:val="nil"/>
            </w:tcBorders>
            <w:shd w:val="pct12" w:color="auto" w:fill="FFFFFF"/>
          </w:tcPr>
          <w:p w14:paraId="3FDD855B" w14:textId="77777777" w:rsidR="00DB41CD" w:rsidRPr="000A3E55" w:rsidRDefault="00DB41CD" w:rsidP="00DB41CD">
            <w:pPr>
              <w:spacing w:after="0" w:line="240" w:lineRule="auto"/>
              <w:rPr>
                <w:rFonts w:ascii="Calibri" w:eastAsia="Times" w:hAnsi="Calibri" w:cs="Arial"/>
                <w:sz w:val="20"/>
                <w:szCs w:val="20"/>
              </w:rPr>
            </w:pPr>
          </w:p>
        </w:tc>
        <w:tc>
          <w:tcPr>
            <w:tcW w:w="4819" w:type="dxa"/>
            <w:tcBorders>
              <w:top w:val="single" w:sz="4" w:space="0" w:color="auto"/>
              <w:left w:val="nil"/>
              <w:bottom w:val="single" w:sz="4" w:space="0" w:color="auto"/>
              <w:right w:val="nil"/>
            </w:tcBorders>
          </w:tcPr>
          <w:p w14:paraId="3051CBF3" w14:textId="77777777" w:rsidR="00DB41CD" w:rsidRPr="000A3E55" w:rsidRDefault="00DB41CD" w:rsidP="00DB41CD">
            <w:pPr>
              <w:spacing w:after="0" w:line="240" w:lineRule="auto"/>
              <w:rPr>
                <w:rFonts w:ascii="Calibri" w:eastAsia="Times" w:hAnsi="Calibri" w:cs="Arial"/>
                <w:sz w:val="20"/>
                <w:szCs w:val="20"/>
              </w:rPr>
            </w:pPr>
          </w:p>
        </w:tc>
      </w:tr>
      <w:tr w:rsidR="00DB41CD" w:rsidRPr="000A3E55" w14:paraId="1B7D7FB1" w14:textId="77777777" w:rsidTr="002C5F33">
        <w:tblPrEx>
          <w:tblLook w:val="04A0" w:firstRow="1" w:lastRow="0" w:firstColumn="1" w:lastColumn="0" w:noHBand="0" w:noVBand="1"/>
        </w:tblPrEx>
        <w:trPr>
          <w:gridAfter w:val="1"/>
          <w:wAfter w:w="19" w:type="dxa"/>
        </w:trPr>
        <w:tc>
          <w:tcPr>
            <w:tcW w:w="4678" w:type="dxa"/>
            <w:tcBorders>
              <w:top w:val="single" w:sz="4" w:space="0" w:color="auto"/>
              <w:left w:val="nil"/>
              <w:bottom w:val="single" w:sz="4" w:space="0" w:color="auto"/>
              <w:right w:val="nil"/>
            </w:tcBorders>
            <w:shd w:val="pct5" w:color="auto" w:fill="FFFFFF"/>
          </w:tcPr>
          <w:p w14:paraId="1485434E" w14:textId="77777777" w:rsidR="00DB41CD" w:rsidRPr="000A3E55" w:rsidRDefault="00DB41CD" w:rsidP="00DB41CD">
            <w:pPr>
              <w:spacing w:after="0" w:line="240" w:lineRule="auto"/>
              <w:rPr>
                <w:rFonts w:ascii="Calibri" w:eastAsia="Times" w:hAnsi="Calibri" w:cs="Arial"/>
              </w:rPr>
            </w:pPr>
            <w:r w:rsidRPr="000A3E55">
              <w:rPr>
                <w:rFonts w:ascii="Calibri" w:hAnsi="Calibri"/>
                <w:bCs/>
              </w:rPr>
              <w:t>Trading name(s)</w:t>
            </w:r>
          </w:p>
          <w:p w14:paraId="5773CBD2" w14:textId="77777777" w:rsidR="00DB41CD" w:rsidRPr="000A3E55" w:rsidRDefault="00DB41CD" w:rsidP="00DB41CD">
            <w:pPr>
              <w:spacing w:after="0" w:line="240" w:lineRule="auto"/>
              <w:rPr>
                <w:rFonts w:ascii="Calibri" w:eastAsia="Times" w:hAnsi="Calibri" w:cs="Arial"/>
              </w:rPr>
            </w:pPr>
          </w:p>
        </w:tc>
        <w:tc>
          <w:tcPr>
            <w:tcW w:w="144" w:type="dxa"/>
            <w:tcBorders>
              <w:top w:val="single" w:sz="4" w:space="0" w:color="auto"/>
              <w:left w:val="nil"/>
              <w:bottom w:val="single" w:sz="4" w:space="0" w:color="auto"/>
              <w:right w:val="nil"/>
            </w:tcBorders>
            <w:shd w:val="pct12" w:color="auto" w:fill="FFFFFF"/>
          </w:tcPr>
          <w:p w14:paraId="105F11E1" w14:textId="77777777" w:rsidR="00DB41CD" w:rsidRPr="000A3E55" w:rsidRDefault="00DB41CD" w:rsidP="00DB41CD">
            <w:pPr>
              <w:spacing w:after="0" w:line="240" w:lineRule="auto"/>
              <w:rPr>
                <w:rFonts w:ascii="Calibri" w:eastAsia="Times" w:hAnsi="Calibri" w:cs="Arial"/>
                <w:sz w:val="20"/>
                <w:szCs w:val="20"/>
              </w:rPr>
            </w:pPr>
          </w:p>
        </w:tc>
        <w:tc>
          <w:tcPr>
            <w:tcW w:w="4819" w:type="dxa"/>
            <w:tcBorders>
              <w:top w:val="nil"/>
              <w:left w:val="nil"/>
              <w:bottom w:val="single" w:sz="4" w:space="0" w:color="auto"/>
              <w:right w:val="nil"/>
            </w:tcBorders>
          </w:tcPr>
          <w:p w14:paraId="2A3DAF5E" w14:textId="77777777" w:rsidR="00DB41CD" w:rsidRPr="000A3E55" w:rsidRDefault="00DB41CD" w:rsidP="00DB41CD">
            <w:pPr>
              <w:spacing w:after="0" w:line="240" w:lineRule="auto"/>
              <w:rPr>
                <w:rFonts w:ascii="Calibri" w:eastAsia="Times" w:hAnsi="Calibri" w:cs="Arial"/>
                <w:sz w:val="20"/>
                <w:szCs w:val="20"/>
              </w:rPr>
            </w:pPr>
          </w:p>
        </w:tc>
      </w:tr>
      <w:tr w:rsidR="00DB41CD" w:rsidRPr="000A3E55" w14:paraId="50228558" w14:textId="77777777" w:rsidTr="002C5F33">
        <w:tblPrEx>
          <w:tblLook w:val="04A0" w:firstRow="1" w:lastRow="0" w:firstColumn="1" w:lastColumn="0" w:noHBand="0" w:noVBand="1"/>
        </w:tblPrEx>
        <w:trPr>
          <w:gridAfter w:val="1"/>
          <w:wAfter w:w="19" w:type="dxa"/>
        </w:trPr>
        <w:tc>
          <w:tcPr>
            <w:tcW w:w="4678" w:type="dxa"/>
            <w:tcBorders>
              <w:top w:val="single" w:sz="4" w:space="0" w:color="auto"/>
              <w:left w:val="nil"/>
              <w:bottom w:val="single" w:sz="4" w:space="0" w:color="auto"/>
              <w:right w:val="nil"/>
            </w:tcBorders>
            <w:shd w:val="pct5" w:color="auto" w:fill="FFFFFF"/>
          </w:tcPr>
          <w:p w14:paraId="38987B46" w14:textId="77777777" w:rsidR="00DB41CD" w:rsidRPr="000A3E55" w:rsidRDefault="00DB41CD" w:rsidP="00DB41CD">
            <w:pPr>
              <w:spacing w:after="0" w:line="240" w:lineRule="auto"/>
              <w:rPr>
                <w:rFonts w:ascii="Calibri" w:eastAsia="Times" w:hAnsi="Calibri" w:cs="Arial"/>
                <w:bCs/>
              </w:rPr>
            </w:pPr>
            <w:r w:rsidRPr="000A3E55">
              <w:rPr>
                <w:rFonts w:ascii="Calibri" w:hAnsi="Calibri"/>
                <w:bCs/>
              </w:rPr>
              <w:t>Legal form</w:t>
            </w:r>
          </w:p>
          <w:p w14:paraId="4CBDFB54" w14:textId="77777777" w:rsidR="00DB41CD" w:rsidRPr="000A3E55" w:rsidRDefault="00DB41CD" w:rsidP="00DB41CD">
            <w:pPr>
              <w:spacing w:after="0" w:line="240" w:lineRule="auto"/>
              <w:rPr>
                <w:rFonts w:ascii="Calibri" w:eastAsia="Times" w:hAnsi="Calibri" w:cs="Arial"/>
                <w:bCs/>
              </w:rPr>
            </w:pPr>
          </w:p>
        </w:tc>
        <w:tc>
          <w:tcPr>
            <w:tcW w:w="144" w:type="dxa"/>
            <w:tcBorders>
              <w:top w:val="single" w:sz="4" w:space="0" w:color="auto"/>
              <w:left w:val="nil"/>
              <w:bottom w:val="single" w:sz="4" w:space="0" w:color="auto"/>
              <w:right w:val="nil"/>
            </w:tcBorders>
            <w:shd w:val="pct12" w:color="auto" w:fill="FFFFFF"/>
          </w:tcPr>
          <w:p w14:paraId="2F5FA99F" w14:textId="77777777" w:rsidR="00DB41CD" w:rsidRPr="000A3E55" w:rsidRDefault="00DB41CD" w:rsidP="00DB41CD">
            <w:pPr>
              <w:spacing w:after="0" w:line="240" w:lineRule="auto"/>
              <w:rPr>
                <w:rFonts w:ascii="Calibri" w:eastAsia="Times" w:hAnsi="Calibri" w:cs="Arial"/>
                <w:sz w:val="20"/>
                <w:szCs w:val="20"/>
              </w:rPr>
            </w:pPr>
          </w:p>
        </w:tc>
        <w:tc>
          <w:tcPr>
            <w:tcW w:w="4819" w:type="dxa"/>
            <w:tcBorders>
              <w:top w:val="nil"/>
              <w:left w:val="nil"/>
              <w:bottom w:val="single" w:sz="4" w:space="0" w:color="auto"/>
              <w:right w:val="nil"/>
            </w:tcBorders>
          </w:tcPr>
          <w:p w14:paraId="03FB0604" w14:textId="77777777" w:rsidR="00DB41CD" w:rsidRPr="000A3E55" w:rsidRDefault="00DB41CD" w:rsidP="00DB41CD">
            <w:pPr>
              <w:spacing w:after="0" w:line="240" w:lineRule="auto"/>
              <w:rPr>
                <w:rFonts w:ascii="Calibri" w:eastAsia="Times" w:hAnsi="Calibri" w:cs="Arial"/>
                <w:sz w:val="20"/>
                <w:szCs w:val="20"/>
              </w:rPr>
            </w:pPr>
          </w:p>
        </w:tc>
      </w:tr>
      <w:tr w:rsidR="00DB41CD" w:rsidRPr="000A3E55" w14:paraId="2ADBBF35" w14:textId="77777777" w:rsidTr="002C5F33">
        <w:tblPrEx>
          <w:tblLook w:val="04A0" w:firstRow="1" w:lastRow="0" w:firstColumn="1" w:lastColumn="0" w:noHBand="0" w:noVBand="1"/>
        </w:tblPrEx>
        <w:trPr>
          <w:gridAfter w:val="1"/>
          <w:wAfter w:w="19" w:type="dxa"/>
        </w:trPr>
        <w:tc>
          <w:tcPr>
            <w:tcW w:w="4678" w:type="dxa"/>
            <w:tcBorders>
              <w:top w:val="single" w:sz="4" w:space="0" w:color="auto"/>
              <w:left w:val="nil"/>
              <w:bottom w:val="single" w:sz="4" w:space="0" w:color="auto"/>
              <w:right w:val="nil"/>
            </w:tcBorders>
            <w:shd w:val="pct5" w:color="auto" w:fill="FFFFFF"/>
          </w:tcPr>
          <w:p w14:paraId="57625C28" w14:textId="77777777" w:rsidR="00DB41CD" w:rsidRPr="000A3E55" w:rsidRDefault="00DB41CD" w:rsidP="00DB41CD">
            <w:pPr>
              <w:spacing w:after="0" w:line="240" w:lineRule="auto"/>
              <w:rPr>
                <w:rFonts w:ascii="Calibri" w:eastAsia="Times" w:hAnsi="Calibri" w:cs="Arial"/>
                <w:i/>
                <w:iCs/>
              </w:rPr>
            </w:pPr>
            <w:r w:rsidRPr="000A3E55">
              <w:rPr>
                <w:rFonts w:ascii="Calibri" w:hAnsi="Calibri"/>
                <w:bCs/>
              </w:rPr>
              <w:t>Registered office</w:t>
            </w:r>
            <w:r w:rsidRPr="000A3E55">
              <w:rPr>
                <w:rFonts w:ascii="Calibri" w:hAnsi="Calibri"/>
              </w:rPr>
              <w:t xml:space="preserve"> </w:t>
            </w:r>
          </w:p>
          <w:p w14:paraId="7376468A" w14:textId="77777777" w:rsidR="00DB41CD" w:rsidRPr="000A3E55" w:rsidRDefault="00DB41CD" w:rsidP="00DB41CD">
            <w:pPr>
              <w:spacing w:after="0" w:line="240" w:lineRule="auto"/>
              <w:rPr>
                <w:rFonts w:ascii="Calibri" w:eastAsia="Times" w:hAnsi="Calibri" w:cs="Arial"/>
                <w:i/>
                <w:iCs/>
              </w:rPr>
            </w:pPr>
          </w:p>
        </w:tc>
        <w:tc>
          <w:tcPr>
            <w:tcW w:w="144" w:type="dxa"/>
            <w:tcBorders>
              <w:top w:val="single" w:sz="4" w:space="0" w:color="auto"/>
              <w:left w:val="nil"/>
              <w:bottom w:val="single" w:sz="4" w:space="0" w:color="auto"/>
              <w:right w:val="nil"/>
            </w:tcBorders>
            <w:shd w:val="pct12" w:color="auto" w:fill="FFFFFF"/>
          </w:tcPr>
          <w:p w14:paraId="1B7D1E70" w14:textId="77777777" w:rsidR="00DB41CD" w:rsidRPr="000A3E55" w:rsidRDefault="00DB41CD" w:rsidP="00DB41CD">
            <w:pPr>
              <w:spacing w:after="0" w:line="240" w:lineRule="auto"/>
              <w:rPr>
                <w:rFonts w:ascii="Calibri" w:eastAsia="Times" w:hAnsi="Calibri" w:cs="Arial"/>
                <w:sz w:val="20"/>
                <w:szCs w:val="20"/>
              </w:rPr>
            </w:pPr>
          </w:p>
        </w:tc>
        <w:tc>
          <w:tcPr>
            <w:tcW w:w="4819" w:type="dxa"/>
            <w:tcBorders>
              <w:top w:val="nil"/>
              <w:left w:val="nil"/>
              <w:bottom w:val="single" w:sz="4" w:space="0" w:color="auto"/>
              <w:right w:val="nil"/>
            </w:tcBorders>
          </w:tcPr>
          <w:p w14:paraId="2A055D5F" w14:textId="77777777" w:rsidR="00DB41CD" w:rsidRPr="000A3E55" w:rsidRDefault="00DB41CD" w:rsidP="00DB41CD">
            <w:pPr>
              <w:spacing w:after="0" w:line="240" w:lineRule="auto"/>
              <w:rPr>
                <w:rFonts w:ascii="Calibri" w:eastAsia="Times" w:hAnsi="Calibri" w:cs="Arial"/>
                <w:sz w:val="20"/>
                <w:szCs w:val="20"/>
              </w:rPr>
            </w:pPr>
          </w:p>
        </w:tc>
      </w:tr>
      <w:tr w:rsidR="00DB41CD" w:rsidRPr="000A3E55" w14:paraId="58BDB476" w14:textId="77777777" w:rsidTr="002C5F33">
        <w:tblPrEx>
          <w:tblLook w:val="04A0" w:firstRow="1" w:lastRow="0" w:firstColumn="1" w:lastColumn="0" w:noHBand="0" w:noVBand="1"/>
        </w:tblPrEx>
        <w:trPr>
          <w:gridAfter w:val="1"/>
          <w:wAfter w:w="19" w:type="dxa"/>
        </w:trPr>
        <w:tc>
          <w:tcPr>
            <w:tcW w:w="4678" w:type="dxa"/>
            <w:tcBorders>
              <w:top w:val="single" w:sz="4" w:space="0" w:color="auto"/>
              <w:left w:val="nil"/>
              <w:bottom w:val="single" w:sz="4" w:space="0" w:color="auto"/>
              <w:right w:val="nil"/>
            </w:tcBorders>
            <w:shd w:val="pct5" w:color="auto" w:fill="FFFFFF"/>
          </w:tcPr>
          <w:p w14:paraId="4B4328D9" w14:textId="77777777" w:rsidR="00DB41CD" w:rsidRPr="000A3E55" w:rsidRDefault="00DB41CD" w:rsidP="00E57181">
            <w:pPr>
              <w:tabs>
                <w:tab w:val="left" w:pos="426"/>
              </w:tabs>
              <w:spacing w:after="0" w:line="240" w:lineRule="auto"/>
              <w:outlineLvl w:val="0"/>
              <w:rPr>
                <w:rFonts w:ascii="Calibri" w:eastAsia="Times New Roman" w:hAnsi="Calibri" w:cs="Arial"/>
                <w:bCs/>
              </w:rPr>
            </w:pPr>
            <w:r w:rsidRPr="000A3E55">
              <w:rPr>
                <w:rFonts w:ascii="Calibri" w:hAnsi="Calibri"/>
                <w:bCs/>
              </w:rPr>
              <w:t xml:space="preserve">Registration number in trade register </w:t>
            </w:r>
          </w:p>
          <w:p w14:paraId="6A82E971" w14:textId="77777777" w:rsidR="00215E47" w:rsidRPr="000A3E55" w:rsidRDefault="00215E47" w:rsidP="00E57181">
            <w:pPr>
              <w:tabs>
                <w:tab w:val="left" w:pos="426"/>
              </w:tabs>
              <w:spacing w:after="0" w:line="240" w:lineRule="auto"/>
              <w:outlineLvl w:val="0"/>
              <w:rPr>
                <w:rFonts w:ascii="Calibri" w:eastAsia="Times New Roman" w:hAnsi="Calibri" w:cs="Arial"/>
                <w:bCs/>
              </w:rPr>
            </w:pPr>
          </w:p>
        </w:tc>
        <w:tc>
          <w:tcPr>
            <w:tcW w:w="144" w:type="dxa"/>
            <w:tcBorders>
              <w:top w:val="single" w:sz="4" w:space="0" w:color="auto"/>
              <w:left w:val="nil"/>
              <w:bottom w:val="single" w:sz="4" w:space="0" w:color="auto"/>
              <w:right w:val="nil"/>
            </w:tcBorders>
            <w:shd w:val="pct12" w:color="auto" w:fill="FFFFFF"/>
          </w:tcPr>
          <w:p w14:paraId="3B42815F" w14:textId="77777777" w:rsidR="00DB41CD" w:rsidRPr="000A3E55" w:rsidRDefault="00DB41CD" w:rsidP="00DB41CD">
            <w:pPr>
              <w:spacing w:after="0" w:line="240" w:lineRule="auto"/>
              <w:rPr>
                <w:rFonts w:ascii="Calibri" w:eastAsia="Times New Roman" w:hAnsi="Calibri" w:cs="Arial"/>
                <w:sz w:val="20"/>
                <w:szCs w:val="20"/>
              </w:rPr>
            </w:pPr>
          </w:p>
        </w:tc>
        <w:tc>
          <w:tcPr>
            <w:tcW w:w="4819" w:type="dxa"/>
            <w:tcBorders>
              <w:top w:val="single" w:sz="4" w:space="0" w:color="auto"/>
              <w:left w:val="nil"/>
              <w:bottom w:val="single" w:sz="4" w:space="0" w:color="auto"/>
              <w:right w:val="nil"/>
            </w:tcBorders>
          </w:tcPr>
          <w:p w14:paraId="0169F3E1" w14:textId="77777777" w:rsidR="00DB41CD" w:rsidRPr="000A3E55" w:rsidRDefault="00DB41CD" w:rsidP="00DB41CD">
            <w:pPr>
              <w:spacing w:after="0" w:line="240" w:lineRule="auto"/>
              <w:rPr>
                <w:rFonts w:ascii="Calibri" w:eastAsia="Times New Roman" w:hAnsi="Calibri" w:cs="Arial"/>
                <w:sz w:val="20"/>
                <w:szCs w:val="20"/>
              </w:rPr>
            </w:pPr>
          </w:p>
        </w:tc>
      </w:tr>
      <w:tr w:rsidR="00215E47" w:rsidRPr="000A3E55" w14:paraId="628D2A48" w14:textId="77777777" w:rsidTr="002C5F33">
        <w:tblPrEx>
          <w:tblLook w:val="04A0" w:firstRow="1" w:lastRow="0" w:firstColumn="1" w:lastColumn="0" w:noHBand="0" w:noVBand="1"/>
        </w:tblPrEx>
        <w:trPr>
          <w:gridAfter w:val="1"/>
          <w:wAfter w:w="19" w:type="dxa"/>
        </w:trPr>
        <w:tc>
          <w:tcPr>
            <w:tcW w:w="4678" w:type="dxa"/>
            <w:tcBorders>
              <w:top w:val="single" w:sz="4" w:space="0" w:color="auto"/>
              <w:left w:val="nil"/>
              <w:bottom w:val="single" w:sz="4" w:space="0" w:color="auto"/>
              <w:right w:val="nil"/>
            </w:tcBorders>
            <w:shd w:val="pct5" w:color="auto" w:fill="FFFFFF"/>
          </w:tcPr>
          <w:p w14:paraId="00C0F5C7" w14:textId="77777777" w:rsidR="00215E47" w:rsidRPr="000A3E55" w:rsidRDefault="00215E47" w:rsidP="00E57181">
            <w:pPr>
              <w:tabs>
                <w:tab w:val="left" w:pos="426"/>
              </w:tabs>
              <w:spacing w:after="0" w:line="240" w:lineRule="auto"/>
              <w:outlineLvl w:val="0"/>
              <w:rPr>
                <w:rFonts w:ascii="Calibri" w:eastAsia="Times New Roman" w:hAnsi="Calibri" w:cs="Arial"/>
                <w:bCs/>
              </w:rPr>
            </w:pPr>
            <w:r w:rsidRPr="000A3E55">
              <w:rPr>
                <w:rFonts w:ascii="Calibri" w:hAnsi="Calibri"/>
                <w:bCs/>
              </w:rPr>
              <w:t>LEI code (if available)</w:t>
            </w:r>
          </w:p>
          <w:p w14:paraId="05A1893F" w14:textId="77777777" w:rsidR="00215E47" w:rsidRPr="000A3E55" w:rsidRDefault="00215E47" w:rsidP="00E57181">
            <w:pPr>
              <w:tabs>
                <w:tab w:val="left" w:pos="426"/>
              </w:tabs>
              <w:spacing w:after="0" w:line="240" w:lineRule="auto"/>
              <w:outlineLvl w:val="0"/>
              <w:rPr>
                <w:rFonts w:ascii="Calibri" w:eastAsia="Times New Roman" w:hAnsi="Calibri" w:cs="Arial"/>
                <w:bCs/>
              </w:rPr>
            </w:pPr>
          </w:p>
        </w:tc>
        <w:tc>
          <w:tcPr>
            <w:tcW w:w="144" w:type="dxa"/>
            <w:tcBorders>
              <w:top w:val="single" w:sz="4" w:space="0" w:color="auto"/>
              <w:left w:val="nil"/>
              <w:bottom w:val="single" w:sz="4" w:space="0" w:color="auto"/>
              <w:right w:val="nil"/>
            </w:tcBorders>
            <w:shd w:val="pct12" w:color="auto" w:fill="FFFFFF"/>
          </w:tcPr>
          <w:p w14:paraId="211AE0F9" w14:textId="77777777" w:rsidR="00215E47" w:rsidRPr="000A3E55" w:rsidRDefault="00215E47" w:rsidP="00DB41CD">
            <w:pPr>
              <w:spacing w:after="0" w:line="240" w:lineRule="auto"/>
              <w:rPr>
                <w:rFonts w:ascii="Calibri" w:eastAsia="Times New Roman" w:hAnsi="Calibri" w:cs="Arial"/>
                <w:sz w:val="20"/>
                <w:szCs w:val="20"/>
              </w:rPr>
            </w:pPr>
          </w:p>
        </w:tc>
        <w:tc>
          <w:tcPr>
            <w:tcW w:w="4819" w:type="dxa"/>
            <w:tcBorders>
              <w:top w:val="single" w:sz="4" w:space="0" w:color="auto"/>
              <w:left w:val="nil"/>
              <w:bottom w:val="single" w:sz="4" w:space="0" w:color="auto"/>
              <w:right w:val="nil"/>
            </w:tcBorders>
          </w:tcPr>
          <w:p w14:paraId="1F358071" w14:textId="77777777" w:rsidR="00215E47" w:rsidRPr="000A3E55" w:rsidRDefault="00215E47" w:rsidP="00DB41CD">
            <w:pPr>
              <w:spacing w:after="0" w:line="240" w:lineRule="auto"/>
              <w:rPr>
                <w:rFonts w:ascii="Calibri" w:eastAsia="Times New Roman" w:hAnsi="Calibri" w:cs="Arial"/>
                <w:sz w:val="20"/>
                <w:szCs w:val="20"/>
              </w:rPr>
            </w:pPr>
          </w:p>
        </w:tc>
      </w:tr>
      <w:tr w:rsidR="00DB41CD" w:rsidRPr="000A3E55" w14:paraId="01D3F4B4" w14:textId="77777777" w:rsidTr="002C5F33">
        <w:tblPrEx>
          <w:tblLook w:val="04A0" w:firstRow="1" w:lastRow="0" w:firstColumn="1" w:lastColumn="0" w:noHBand="0" w:noVBand="1"/>
        </w:tblPrEx>
        <w:trPr>
          <w:gridAfter w:val="1"/>
          <w:wAfter w:w="19" w:type="dxa"/>
        </w:trPr>
        <w:tc>
          <w:tcPr>
            <w:tcW w:w="4678" w:type="dxa"/>
            <w:tcBorders>
              <w:top w:val="single" w:sz="4" w:space="0" w:color="auto"/>
              <w:left w:val="nil"/>
              <w:bottom w:val="single" w:sz="4" w:space="0" w:color="auto"/>
              <w:right w:val="nil"/>
            </w:tcBorders>
            <w:shd w:val="pct5" w:color="auto" w:fill="FFFFFF"/>
          </w:tcPr>
          <w:p w14:paraId="5C9BE954" w14:textId="77777777" w:rsidR="00DB41CD" w:rsidRPr="000A3E55" w:rsidRDefault="00DB41CD" w:rsidP="00DB41CD">
            <w:pPr>
              <w:spacing w:after="0" w:line="240" w:lineRule="auto"/>
              <w:rPr>
                <w:rFonts w:ascii="Calibri" w:eastAsia="Times" w:hAnsi="Calibri" w:cs="Arial"/>
              </w:rPr>
            </w:pPr>
            <w:r w:rsidRPr="000A3E55">
              <w:rPr>
                <w:rFonts w:ascii="Calibri" w:hAnsi="Calibri"/>
                <w:bCs/>
              </w:rPr>
              <w:t>Address of head office</w:t>
            </w:r>
            <w:r w:rsidRPr="000A3E55">
              <w:rPr>
                <w:rFonts w:ascii="Calibri" w:hAnsi="Calibri"/>
              </w:rPr>
              <w:t xml:space="preserve"> </w:t>
            </w:r>
          </w:p>
          <w:p w14:paraId="64532384" w14:textId="77777777" w:rsidR="00DB41CD" w:rsidRPr="000A3E55" w:rsidRDefault="00DB41CD" w:rsidP="00DB41CD">
            <w:pPr>
              <w:spacing w:after="0" w:line="240" w:lineRule="auto"/>
              <w:rPr>
                <w:rFonts w:ascii="Calibri" w:eastAsia="Times" w:hAnsi="Calibri" w:cs="Arial"/>
              </w:rPr>
            </w:pPr>
          </w:p>
        </w:tc>
        <w:tc>
          <w:tcPr>
            <w:tcW w:w="144" w:type="dxa"/>
            <w:tcBorders>
              <w:top w:val="single" w:sz="4" w:space="0" w:color="auto"/>
              <w:left w:val="nil"/>
              <w:bottom w:val="single" w:sz="4" w:space="0" w:color="auto"/>
              <w:right w:val="nil"/>
            </w:tcBorders>
            <w:shd w:val="pct12" w:color="auto" w:fill="FFFFFF"/>
          </w:tcPr>
          <w:p w14:paraId="64865D49" w14:textId="77777777" w:rsidR="00DB41CD" w:rsidRPr="000A3E55" w:rsidRDefault="00DB41CD" w:rsidP="00DB41CD">
            <w:pPr>
              <w:spacing w:after="0" w:line="240" w:lineRule="auto"/>
              <w:rPr>
                <w:rFonts w:ascii="Calibri" w:eastAsia="Times New Roman" w:hAnsi="Calibri" w:cs="Arial"/>
                <w:sz w:val="20"/>
                <w:szCs w:val="20"/>
              </w:rPr>
            </w:pPr>
          </w:p>
        </w:tc>
        <w:tc>
          <w:tcPr>
            <w:tcW w:w="4819" w:type="dxa"/>
            <w:tcBorders>
              <w:top w:val="single" w:sz="4" w:space="0" w:color="auto"/>
              <w:left w:val="nil"/>
              <w:bottom w:val="single" w:sz="4" w:space="0" w:color="auto"/>
              <w:right w:val="nil"/>
            </w:tcBorders>
          </w:tcPr>
          <w:p w14:paraId="11B5ADA9" w14:textId="77777777" w:rsidR="00DB41CD" w:rsidRPr="000A3E55" w:rsidRDefault="00DB41CD" w:rsidP="00DB41CD">
            <w:pPr>
              <w:spacing w:after="0" w:line="240" w:lineRule="auto"/>
              <w:rPr>
                <w:rFonts w:ascii="Calibri" w:eastAsia="Times" w:hAnsi="Calibri" w:cs="Arial"/>
                <w:sz w:val="20"/>
                <w:szCs w:val="20"/>
              </w:rPr>
            </w:pPr>
          </w:p>
        </w:tc>
      </w:tr>
      <w:tr w:rsidR="00DB41CD" w:rsidRPr="000A3E55" w14:paraId="4CF99EE1" w14:textId="77777777" w:rsidTr="002C5F33">
        <w:tblPrEx>
          <w:tblLook w:val="04A0" w:firstRow="1" w:lastRow="0" w:firstColumn="1" w:lastColumn="0" w:noHBand="0" w:noVBand="1"/>
        </w:tblPrEx>
        <w:trPr>
          <w:gridAfter w:val="1"/>
          <w:wAfter w:w="19" w:type="dxa"/>
        </w:trPr>
        <w:tc>
          <w:tcPr>
            <w:tcW w:w="4678" w:type="dxa"/>
            <w:tcBorders>
              <w:top w:val="single" w:sz="4" w:space="0" w:color="auto"/>
              <w:left w:val="nil"/>
              <w:bottom w:val="single" w:sz="4" w:space="0" w:color="auto"/>
              <w:right w:val="nil"/>
            </w:tcBorders>
            <w:shd w:val="pct5" w:color="auto" w:fill="FFFFFF"/>
          </w:tcPr>
          <w:p w14:paraId="3B5F5BBB" w14:textId="77777777" w:rsidR="00DB41CD" w:rsidRPr="000A3E55" w:rsidRDefault="00DB41CD" w:rsidP="00DB41CD">
            <w:pPr>
              <w:spacing w:after="0" w:line="240" w:lineRule="auto"/>
              <w:rPr>
                <w:rFonts w:ascii="Calibri" w:eastAsia="Times New Roman" w:hAnsi="Calibri" w:cs="Arial"/>
              </w:rPr>
            </w:pPr>
            <w:r w:rsidRPr="000A3E55">
              <w:rPr>
                <w:rFonts w:ascii="Calibri" w:hAnsi="Calibri"/>
              </w:rPr>
              <w:t>Postal code and city of head office</w:t>
            </w:r>
          </w:p>
          <w:p w14:paraId="544EF392" w14:textId="77777777" w:rsidR="00DB41CD" w:rsidRPr="000A3E55" w:rsidRDefault="00DB41CD" w:rsidP="00DB41CD">
            <w:pPr>
              <w:spacing w:after="0" w:line="240" w:lineRule="auto"/>
              <w:rPr>
                <w:rFonts w:ascii="Calibri" w:eastAsia="Times New Roman" w:hAnsi="Calibri" w:cs="Arial"/>
              </w:rPr>
            </w:pPr>
          </w:p>
        </w:tc>
        <w:tc>
          <w:tcPr>
            <w:tcW w:w="144" w:type="dxa"/>
            <w:tcBorders>
              <w:top w:val="single" w:sz="4" w:space="0" w:color="auto"/>
              <w:left w:val="nil"/>
              <w:bottom w:val="single" w:sz="4" w:space="0" w:color="auto"/>
              <w:right w:val="nil"/>
            </w:tcBorders>
            <w:shd w:val="pct12" w:color="auto" w:fill="FFFFFF"/>
          </w:tcPr>
          <w:p w14:paraId="73E30253" w14:textId="77777777" w:rsidR="00DB41CD" w:rsidRPr="000A3E55" w:rsidRDefault="00DB41CD" w:rsidP="00DB41CD">
            <w:pPr>
              <w:spacing w:after="0" w:line="240" w:lineRule="auto"/>
              <w:rPr>
                <w:rFonts w:ascii="Calibri" w:eastAsia="Times New Roman" w:hAnsi="Calibri" w:cs="Arial"/>
                <w:sz w:val="20"/>
                <w:szCs w:val="20"/>
              </w:rPr>
            </w:pPr>
          </w:p>
        </w:tc>
        <w:tc>
          <w:tcPr>
            <w:tcW w:w="4819" w:type="dxa"/>
            <w:tcBorders>
              <w:top w:val="nil"/>
              <w:left w:val="nil"/>
              <w:bottom w:val="single" w:sz="4" w:space="0" w:color="auto"/>
              <w:right w:val="nil"/>
            </w:tcBorders>
          </w:tcPr>
          <w:p w14:paraId="66DD25A2" w14:textId="77777777" w:rsidR="00DB41CD" w:rsidRPr="000A3E55" w:rsidRDefault="00DB41CD" w:rsidP="00DB41CD">
            <w:pPr>
              <w:spacing w:after="0" w:line="240" w:lineRule="auto"/>
              <w:rPr>
                <w:rFonts w:ascii="Calibri" w:eastAsia="Times New Roman" w:hAnsi="Calibri" w:cs="Arial"/>
                <w:sz w:val="20"/>
                <w:szCs w:val="20"/>
              </w:rPr>
            </w:pPr>
          </w:p>
        </w:tc>
      </w:tr>
      <w:tr w:rsidR="00DB41CD" w:rsidRPr="000A3E55" w14:paraId="2501D17A" w14:textId="77777777" w:rsidTr="002C5F33">
        <w:tblPrEx>
          <w:tblLook w:val="04A0" w:firstRow="1" w:lastRow="0" w:firstColumn="1" w:lastColumn="0" w:noHBand="0" w:noVBand="1"/>
        </w:tblPrEx>
        <w:trPr>
          <w:gridAfter w:val="1"/>
          <w:wAfter w:w="19" w:type="dxa"/>
        </w:trPr>
        <w:tc>
          <w:tcPr>
            <w:tcW w:w="4678" w:type="dxa"/>
            <w:tcBorders>
              <w:top w:val="single" w:sz="4" w:space="0" w:color="auto"/>
              <w:left w:val="nil"/>
              <w:bottom w:val="single" w:sz="4" w:space="0" w:color="auto"/>
              <w:right w:val="nil"/>
            </w:tcBorders>
            <w:shd w:val="pct5" w:color="auto" w:fill="FFFFFF"/>
          </w:tcPr>
          <w:p w14:paraId="1F50EE37" w14:textId="77777777" w:rsidR="00DB41CD" w:rsidRPr="000A3E55" w:rsidRDefault="00DB41CD" w:rsidP="00DB41CD">
            <w:pPr>
              <w:spacing w:after="0" w:line="240" w:lineRule="auto"/>
              <w:rPr>
                <w:rFonts w:ascii="Calibri" w:eastAsia="Times New Roman" w:hAnsi="Calibri" w:cs="Arial"/>
                <w:bCs/>
              </w:rPr>
            </w:pPr>
            <w:r w:rsidRPr="000A3E55">
              <w:rPr>
                <w:rFonts w:ascii="Calibri" w:hAnsi="Calibri"/>
                <w:bCs/>
              </w:rPr>
              <w:t>Country</w:t>
            </w:r>
          </w:p>
          <w:p w14:paraId="7ECF6A9A" w14:textId="77777777" w:rsidR="00DB41CD" w:rsidRPr="000A3E55" w:rsidRDefault="00DB41CD" w:rsidP="00DB41CD">
            <w:pPr>
              <w:spacing w:after="0" w:line="240" w:lineRule="auto"/>
              <w:rPr>
                <w:rFonts w:ascii="Calibri" w:eastAsia="Times New Roman" w:hAnsi="Calibri" w:cs="Arial"/>
                <w:bCs/>
              </w:rPr>
            </w:pPr>
          </w:p>
        </w:tc>
        <w:tc>
          <w:tcPr>
            <w:tcW w:w="144" w:type="dxa"/>
            <w:tcBorders>
              <w:top w:val="single" w:sz="4" w:space="0" w:color="auto"/>
              <w:left w:val="nil"/>
              <w:bottom w:val="single" w:sz="4" w:space="0" w:color="auto"/>
              <w:right w:val="nil"/>
            </w:tcBorders>
            <w:shd w:val="pct12" w:color="auto" w:fill="FFFFFF"/>
          </w:tcPr>
          <w:p w14:paraId="76397FBE" w14:textId="77777777" w:rsidR="00DB41CD" w:rsidRPr="000A3E55" w:rsidRDefault="00DB41CD" w:rsidP="00DB41CD">
            <w:pPr>
              <w:spacing w:after="0" w:line="240" w:lineRule="auto"/>
              <w:rPr>
                <w:rFonts w:ascii="Calibri" w:eastAsia="Times New Roman" w:hAnsi="Calibri" w:cs="Arial"/>
                <w:sz w:val="20"/>
                <w:szCs w:val="20"/>
              </w:rPr>
            </w:pPr>
          </w:p>
        </w:tc>
        <w:tc>
          <w:tcPr>
            <w:tcW w:w="4819" w:type="dxa"/>
            <w:tcBorders>
              <w:top w:val="nil"/>
              <w:left w:val="nil"/>
              <w:bottom w:val="single" w:sz="4" w:space="0" w:color="auto"/>
              <w:right w:val="nil"/>
            </w:tcBorders>
          </w:tcPr>
          <w:p w14:paraId="16E68826" w14:textId="77777777" w:rsidR="00DB41CD" w:rsidRPr="000A3E55" w:rsidRDefault="00DB41CD" w:rsidP="00DB41CD">
            <w:pPr>
              <w:spacing w:after="0" w:line="240" w:lineRule="auto"/>
              <w:rPr>
                <w:rFonts w:ascii="Calibri" w:eastAsia="Times New Roman" w:hAnsi="Calibri" w:cs="Arial"/>
                <w:sz w:val="20"/>
                <w:szCs w:val="20"/>
              </w:rPr>
            </w:pPr>
          </w:p>
        </w:tc>
      </w:tr>
      <w:tr w:rsidR="00DB41CD" w:rsidRPr="000A3E55" w14:paraId="1816836D" w14:textId="77777777" w:rsidTr="002C5F33">
        <w:tblPrEx>
          <w:tblLook w:val="04A0" w:firstRow="1" w:lastRow="0" w:firstColumn="1" w:lastColumn="0" w:noHBand="0" w:noVBand="1"/>
        </w:tblPrEx>
        <w:trPr>
          <w:gridAfter w:val="1"/>
          <w:wAfter w:w="19" w:type="dxa"/>
        </w:trPr>
        <w:tc>
          <w:tcPr>
            <w:tcW w:w="4678" w:type="dxa"/>
            <w:tcBorders>
              <w:top w:val="single" w:sz="4" w:space="0" w:color="auto"/>
              <w:left w:val="nil"/>
              <w:bottom w:val="single" w:sz="4" w:space="0" w:color="auto"/>
              <w:right w:val="nil"/>
            </w:tcBorders>
            <w:shd w:val="pct5" w:color="auto" w:fill="FFFFFF"/>
          </w:tcPr>
          <w:p w14:paraId="51CE0D96" w14:textId="77777777" w:rsidR="00DB41CD" w:rsidRPr="000A3E55" w:rsidRDefault="00DB41CD" w:rsidP="00DB41CD">
            <w:pPr>
              <w:tabs>
                <w:tab w:val="left" w:pos="426"/>
              </w:tabs>
              <w:spacing w:after="0" w:line="240" w:lineRule="auto"/>
              <w:outlineLvl w:val="0"/>
              <w:rPr>
                <w:rFonts w:ascii="Calibri" w:eastAsia="Times New Roman" w:hAnsi="Calibri" w:cs="Arial"/>
                <w:bCs/>
              </w:rPr>
            </w:pPr>
            <w:r w:rsidRPr="000A3E55">
              <w:rPr>
                <w:rFonts w:ascii="Calibri" w:hAnsi="Calibri"/>
                <w:bCs/>
              </w:rPr>
              <w:t>PO box</w:t>
            </w:r>
          </w:p>
          <w:p w14:paraId="68EC0C48" w14:textId="77777777" w:rsidR="00DB41CD" w:rsidRPr="000A3E55" w:rsidRDefault="00DB41CD" w:rsidP="00DB41CD">
            <w:pPr>
              <w:spacing w:after="0" w:line="240" w:lineRule="auto"/>
              <w:rPr>
                <w:rFonts w:ascii="Calibri" w:eastAsia="Times New Roman" w:hAnsi="Calibri" w:cs="Arial"/>
              </w:rPr>
            </w:pPr>
          </w:p>
        </w:tc>
        <w:tc>
          <w:tcPr>
            <w:tcW w:w="144" w:type="dxa"/>
            <w:tcBorders>
              <w:top w:val="single" w:sz="4" w:space="0" w:color="auto"/>
              <w:left w:val="nil"/>
              <w:bottom w:val="single" w:sz="4" w:space="0" w:color="auto"/>
              <w:right w:val="nil"/>
            </w:tcBorders>
            <w:shd w:val="pct12" w:color="auto" w:fill="FFFFFF"/>
          </w:tcPr>
          <w:p w14:paraId="42A0095D" w14:textId="77777777" w:rsidR="00DB41CD" w:rsidRPr="000A3E55" w:rsidRDefault="00DB41CD" w:rsidP="00DB41CD">
            <w:pPr>
              <w:spacing w:after="0" w:line="240" w:lineRule="auto"/>
              <w:rPr>
                <w:rFonts w:ascii="Calibri" w:eastAsia="Times New Roman" w:hAnsi="Calibri" w:cs="Arial"/>
                <w:sz w:val="20"/>
                <w:szCs w:val="20"/>
              </w:rPr>
            </w:pPr>
          </w:p>
        </w:tc>
        <w:tc>
          <w:tcPr>
            <w:tcW w:w="4819" w:type="dxa"/>
            <w:tcBorders>
              <w:top w:val="nil"/>
              <w:left w:val="nil"/>
              <w:bottom w:val="nil"/>
              <w:right w:val="nil"/>
            </w:tcBorders>
          </w:tcPr>
          <w:p w14:paraId="1093FB25" w14:textId="77777777" w:rsidR="00DB41CD" w:rsidRPr="000A3E55" w:rsidRDefault="00DB41CD" w:rsidP="00DB41CD">
            <w:pPr>
              <w:spacing w:after="0" w:line="240" w:lineRule="auto"/>
              <w:rPr>
                <w:rFonts w:ascii="Calibri" w:eastAsia="Times New Roman" w:hAnsi="Calibri" w:cs="Arial"/>
                <w:sz w:val="20"/>
                <w:szCs w:val="20"/>
              </w:rPr>
            </w:pPr>
          </w:p>
        </w:tc>
      </w:tr>
      <w:tr w:rsidR="00DB41CD" w:rsidRPr="000A3E55" w14:paraId="2E374DB7" w14:textId="77777777" w:rsidTr="002C5F33">
        <w:tblPrEx>
          <w:tblLook w:val="04A0" w:firstRow="1" w:lastRow="0" w:firstColumn="1" w:lastColumn="0" w:noHBand="0" w:noVBand="1"/>
        </w:tblPrEx>
        <w:trPr>
          <w:gridAfter w:val="1"/>
          <w:wAfter w:w="19" w:type="dxa"/>
        </w:trPr>
        <w:tc>
          <w:tcPr>
            <w:tcW w:w="4678" w:type="dxa"/>
            <w:tcBorders>
              <w:top w:val="single" w:sz="4" w:space="0" w:color="auto"/>
              <w:left w:val="nil"/>
              <w:bottom w:val="single" w:sz="4" w:space="0" w:color="auto"/>
              <w:right w:val="nil"/>
            </w:tcBorders>
            <w:shd w:val="pct5" w:color="auto" w:fill="FFFFFF"/>
          </w:tcPr>
          <w:p w14:paraId="32BC9CED" w14:textId="77777777" w:rsidR="00DB41CD" w:rsidRPr="000A3E55" w:rsidRDefault="00DB41CD" w:rsidP="00DB41CD">
            <w:pPr>
              <w:spacing w:after="0" w:line="240" w:lineRule="auto"/>
              <w:rPr>
                <w:rFonts w:ascii="Calibri" w:eastAsia="Times New Roman" w:hAnsi="Calibri" w:cs="Arial"/>
              </w:rPr>
            </w:pPr>
            <w:r w:rsidRPr="000A3E55">
              <w:rPr>
                <w:rFonts w:ascii="Calibri" w:hAnsi="Calibri"/>
                <w:bCs/>
              </w:rPr>
              <w:t>Postal code of the PO box</w:t>
            </w:r>
            <w:r w:rsidRPr="000A3E55">
              <w:rPr>
                <w:rFonts w:ascii="Calibri" w:hAnsi="Calibri"/>
              </w:rPr>
              <w:t xml:space="preserve"> </w:t>
            </w:r>
          </w:p>
          <w:p w14:paraId="08DD1002" w14:textId="77777777" w:rsidR="00DB41CD" w:rsidRPr="000A3E55" w:rsidRDefault="00DB41CD" w:rsidP="00DB41CD">
            <w:pPr>
              <w:spacing w:after="0" w:line="240" w:lineRule="auto"/>
              <w:rPr>
                <w:rFonts w:ascii="Calibri" w:eastAsia="Times New Roman" w:hAnsi="Calibri" w:cs="Arial"/>
              </w:rPr>
            </w:pPr>
          </w:p>
        </w:tc>
        <w:tc>
          <w:tcPr>
            <w:tcW w:w="144" w:type="dxa"/>
            <w:tcBorders>
              <w:top w:val="single" w:sz="4" w:space="0" w:color="auto"/>
              <w:left w:val="nil"/>
              <w:bottom w:val="single" w:sz="4" w:space="0" w:color="auto"/>
              <w:right w:val="nil"/>
            </w:tcBorders>
            <w:shd w:val="pct12" w:color="auto" w:fill="FFFFFF"/>
          </w:tcPr>
          <w:p w14:paraId="23BBE363" w14:textId="77777777" w:rsidR="00DB41CD" w:rsidRPr="000A3E55" w:rsidRDefault="00DB41CD" w:rsidP="00DB41CD">
            <w:pPr>
              <w:spacing w:after="0" w:line="240" w:lineRule="auto"/>
              <w:rPr>
                <w:rFonts w:ascii="Calibri" w:eastAsia="Times New Roman" w:hAnsi="Calibri" w:cs="Arial"/>
                <w:sz w:val="20"/>
                <w:szCs w:val="20"/>
              </w:rPr>
            </w:pPr>
          </w:p>
        </w:tc>
        <w:tc>
          <w:tcPr>
            <w:tcW w:w="4819" w:type="dxa"/>
            <w:tcBorders>
              <w:top w:val="single" w:sz="4" w:space="0" w:color="auto"/>
              <w:left w:val="nil"/>
              <w:bottom w:val="nil"/>
              <w:right w:val="nil"/>
            </w:tcBorders>
          </w:tcPr>
          <w:p w14:paraId="7A0F0B74" w14:textId="77777777" w:rsidR="00DB41CD" w:rsidRPr="000A3E55" w:rsidRDefault="00DB41CD" w:rsidP="00DB41CD">
            <w:pPr>
              <w:spacing w:after="0" w:line="240" w:lineRule="auto"/>
              <w:rPr>
                <w:rFonts w:ascii="Calibri" w:eastAsia="Times New Roman" w:hAnsi="Calibri" w:cs="Arial"/>
                <w:sz w:val="20"/>
                <w:szCs w:val="20"/>
              </w:rPr>
            </w:pPr>
          </w:p>
        </w:tc>
      </w:tr>
      <w:tr w:rsidR="00DB41CD" w:rsidRPr="000A3E55" w14:paraId="41E8F14D" w14:textId="77777777" w:rsidTr="002C5F33">
        <w:tblPrEx>
          <w:tblLook w:val="04A0" w:firstRow="1" w:lastRow="0" w:firstColumn="1" w:lastColumn="0" w:noHBand="0" w:noVBand="1"/>
        </w:tblPrEx>
        <w:trPr>
          <w:gridAfter w:val="1"/>
          <w:wAfter w:w="19" w:type="dxa"/>
        </w:trPr>
        <w:tc>
          <w:tcPr>
            <w:tcW w:w="4678" w:type="dxa"/>
            <w:tcBorders>
              <w:top w:val="single" w:sz="4" w:space="0" w:color="auto"/>
              <w:left w:val="nil"/>
              <w:bottom w:val="single" w:sz="4" w:space="0" w:color="auto"/>
              <w:right w:val="nil"/>
            </w:tcBorders>
            <w:shd w:val="pct5" w:color="auto" w:fill="FFFFFF"/>
          </w:tcPr>
          <w:p w14:paraId="1AAD209A" w14:textId="77777777" w:rsidR="00DB41CD" w:rsidRPr="000A3E55" w:rsidRDefault="00DB41CD" w:rsidP="00DB41CD">
            <w:pPr>
              <w:tabs>
                <w:tab w:val="left" w:pos="426"/>
              </w:tabs>
              <w:spacing w:after="0" w:line="240" w:lineRule="auto"/>
              <w:outlineLvl w:val="0"/>
              <w:rPr>
                <w:rFonts w:ascii="Calibri" w:eastAsia="Times New Roman" w:hAnsi="Calibri" w:cs="Arial"/>
                <w:bCs/>
              </w:rPr>
            </w:pPr>
            <w:r w:rsidRPr="000A3E55">
              <w:rPr>
                <w:rFonts w:ascii="Calibri" w:hAnsi="Calibri"/>
                <w:bCs/>
              </w:rPr>
              <w:t>Country</w:t>
            </w:r>
          </w:p>
          <w:p w14:paraId="7EC8737B" w14:textId="77777777" w:rsidR="00DB41CD" w:rsidRPr="000A3E55" w:rsidRDefault="00DB41CD" w:rsidP="00DB41CD">
            <w:pPr>
              <w:spacing w:after="0" w:line="240" w:lineRule="auto"/>
              <w:rPr>
                <w:rFonts w:ascii="Calibri" w:eastAsia="Times" w:hAnsi="Calibri" w:cs="Arial"/>
                <w:bCs/>
              </w:rPr>
            </w:pPr>
          </w:p>
        </w:tc>
        <w:tc>
          <w:tcPr>
            <w:tcW w:w="144" w:type="dxa"/>
            <w:tcBorders>
              <w:top w:val="single" w:sz="4" w:space="0" w:color="auto"/>
              <w:left w:val="nil"/>
              <w:bottom w:val="single" w:sz="4" w:space="0" w:color="auto"/>
              <w:right w:val="nil"/>
            </w:tcBorders>
            <w:shd w:val="pct12" w:color="auto" w:fill="FFFFFF"/>
          </w:tcPr>
          <w:p w14:paraId="6B033715" w14:textId="77777777" w:rsidR="00DB41CD" w:rsidRPr="000A3E55" w:rsidRDefault="00DB41CD" w:rsidP="00DB41CD">
            <w:pPr>
              <w:spacing w:after="0" w:line="240" w:lineRule="auto"/>
              <w:rPr>
                <w:rFonts w:ascii="Calibri" w:eastAsia="Times New Roman" w:hAnsi="Calibri" w:cs="Arial"/>
                <w:sz w:val="20"/>
                <w:szCs w:val="20"/>
              </w:rPr>
            </w:pPr>
          </w:p>
        </w:tc>
        <w:tc>
          <w:tcPr>
            <w:tcW w:w="4819" w:type="dxa"/>
            <w:tcBorders>
              <w:top w:val="single" w:sz="4" w:space="0" w:color="auto"/>
              <w:left w:val="nil"/>
              <w:bottom w:val="nil"/>
              <w:right w:val="nil"/>
            </w:tcBorders>
          </w:tcPr>
          <w:p w14:paraId="75651524" w14:textId="77777777" w:rsidR="00DB41CD" w:rsidRPr="000A3E55" w:rsidRDefault="00DB41CD" w:rsidP="00DB41CD">
            <w:pPr>
              <w:spacing w:after="0" w:line="240" w:lineRule="auto"/>
              <w:rPr>
                <w:rFonts w:ascii="Calibri" w:eastAsia="Times New Roman" w:hAnsi="Calibri" w:cs="Arial"/>
                <w:sz w:val="20"/>
                <w:szCs w:val="20"/>
              </w:rPr>
            </w:pPr>
          </w:p>
        </w:tc>
      </w:tr>
      <w:tr w:rsidR="00DB41CD" w:rsidRPr="000A3E55" w14:paraId="666B4F39" w14:textId="77777777" w:rsidTr="002C5F33">
        <w:tblPrEx>
          <w:tblLook w:val="04A0" w:firstRow="1" w:lastRow="0" w:firstColumn="1" w:lastColumn="0" w:noHBand="0" w:noVBand="1"/>
        </w:tblPrEx>
        <w:trPr>
          <w:gridAfter w:val="1"/>
          <w:wAfter w:w="19" w:type="dxa"/>
        </w:trPr>
        <w:tc>
          <w:tcPr>
            <w:tcW w:w="4678" w:type="dxa"/>
            <w:tcBorders>
              <w:top w:val="single" w:sz="4" w:space="0" w:color="auto"/>
              <w:left w:val="nil"/>
              <w:bottom w:val="single" w:sz="4" w:space="0" w:color="auto"/>
              <w:right w:val="nil"/>
            </w:tcBorders>
            <w:shd w:val="pct5" w:color="auto" w:fill="FFFFFF"/>
          </w:tcPr>
          <w:p w14:paraId="207DEE1E" w14:textId="77777777" w:rsidR="00DB41CD" w:rsidRPr="000A3E55" w:rsidRDefault="00DB41CD" w:rsidP="00DB41CD">
            <w:pPr>
              <w:tabs>
                <w:tab w:val="left" w:pos="426"/>
              </w:tabs>
              <w:spacing w:after="0" w:line="240" w:lineRule="auto"/>
              <w:outlineLvl w:val="0"/>
              <w:rPr>
                <w:rFonts w:ascii="Calibri" w:eastAsia="Times New Roman" w:hAnsi="Calibri" w:cs="Arial"/>
                <w:bCs/>
              </w:rPr>
            </w:pPr>
            <w:r w:rsidRPr="000A3E55">
              <w:rPr>
                <w:rFonts w:ascii="Calibri" w:hAnsi="Calibri"/>
                <w:bCs/>
              </w:rPr>
              <w:t>Telephone</w:t>
            </w:r>
          </w:p>
          <w:p w14:paraId="1A24B1E5" w14:textId="77777777" w:rsidR="00DB41CD" w:rsidRPr="000A3E55" w:rsidRDefault="00DB41CD" w:rsidP="00DB41CD">
            <w:pPr>
              <w:tabs>
                <w:tab w:val="left" w:pos="426"/>
              </w:tabs>
              <w:spacing w:after="0" w:line="240" w:lineRule="auto"/>
              <w:outlineLvl w:val="0"/>
              <w:rPr>
                <w:rFonts w:ascii="Calibri" w:eastAsia="Times New Roman" w:hAnsi="Calibri" w:cs="Arial"/>
                <w:bCs/>
              </w:rPr>
            </w:pPr>
          </w:p>
        </w:tc>
        <w:tc>
          <w:tcPr>
            <w:tcW w:w="144" w:type="dxa"/>
            <w:tcBorders>
              <w:top w:val="single" w:sz="4" w:space="0" w:color="auto"/>
              <w:left w:val="nil"/>
              <w:bottom w:val="single" w:sz="4" w:space="0" w:color="auto"/>
              <w:right w:val="nil"/>
            </w:tcBorders>
            <w:shd w:val="pct12" w:color="auto" w:fill="FFFFFF"/>
          </w:tcPr>
          <w:p w14:paraId="0CC94C20" w14:textId="77777777" w:rsidR="00DB41CD" w:rsidRPr="000A3E55" w:rsidRDefault="00DB41CD" w:rsidP="00DB41CD">
            <w:pPr>
              <w:spacing w:after="0" w:line="240" w:lineRule="auto"/>
              <w:rPr>
                <w:rFonts w:ascii="Calibri" w:eastAsia="Times New Roman" w:hAnsi="Calibri" w:cs="Arial"/>
                <w:sz w:val="20"/>
                <w:szCs w:val="20"/>
              </w:rPr>
            </w:pPr>
          </w:p>
        </w:tc>
        <w:tc>
          <w:tcPr>
            <w:tcW w:w="4819" w:type="dxa"/>
            <w:tcBorders>
              <w:top w:val="single" w:sz="4" w:space="0" w:color="auto"/>
              <w:left w:val="nil"/>
              <w:bottom w:val="nil"/>
              <w:right w:val="nil"/>
            </w:tcBorders>
          </w:tcPr>
          <w:p w14:paraId="217A285E" w14:textId="77777777" w:rsidR="00DB41CD" w:rsidRPr="000A3E55" w:rsidRDefault="00DB41CD" w:rsidP="00DB41CD">
            <w:pPr>
              <w:spacing w:after="0" w:line="240" w:lineRule="auto"/>
              <w:rPr>
                <w:rFonts w:ascii="Calibri" w:eastAsia="Times New Roman" w:hAnsi="Calibri" w:cs="Arial"/>
                <w:sz w:val="20"/>
                <w:szCs w:val="20"/>
              </w:rPr>
            </w:pPr>
          </w:p>
        </w:tc>
      </w:tr>
      <w:tr w:rsidR="006C4891" w:rsidRPr="000A3E55" w14:paraId="0C9FA921" w14:textId="77777777" w:rsidTr="002C5F33">
        <w:tblPrEx>
          <w:tblLook w:val="04A0" w:firstRow="1" w:lastRow="0" w:firstColumn="1" w:lastColumn="0" w:noHBand="0" w:noVBand="1"/>
        </w:tblPrEx>
        <w:tc>
          <w:tcPr>
            <w:tcW w:w="4678" w:type="dxa"/>
            <w:tcBorders>
              <w:top w:val="single" w:sz="4" w:space="0" w:color="auto"/>
              <w:left w:val="nil"/>
              <w:bottom w:val="single" w:sz="4" w:space="0" w:color="auto"/>
              <w:right w:val="nil"/>
            </w:tcBorders>
            <w:shd w:val="pct5" w:color="auto" w:fill="FFFFFF"/>
          </w:tcPr>
          <w:p w14:paraId="3DCB3CF0" w14:textId="77777777" w:rsidR="00DB41CD" w:rsidRPr="000A3E55" w:rsidRDefault="00DB41CD" w:rsidP="00DB41CD">
            <w:pPr>
              <w:spacing w:after="0" w:line="240" w:lineRule="auto"/>
              <w:rPr>
                <w:rFonts w:ascii="Calibri" w:eastAsia="Times" w:hAnsi="Calibri" w:cs="Arial"/>
              </w:rPr>
            </w:pPr>
            <w:r w:rsidRPr="000A3E55">
              <w:rPr>
                <w:rFonts w:ascii="Calibri" w:hAnsi="Calibri"/>
              </w:rPr>
              <w:t>E-mail address</w:t>
            </w:r>
          </w:p>
          <w:p w14:paraId="38ED8700" w14:textId="77777777" w:rsidR="00DB41CD" w:rsidRPr="000A3E55" w:rsidRDefault="00DB41CD" w:rsidP="00DB41CD">
            <w:pPr>
              <w:spacing w:after="0" w:line="240" w:lineRule="auto"/>
              <w:rPr>
                <w:rFonts w:ascii="Calibri" w:eastAsia="Times" w:hAnsi="Calibri" w:cs="Arial"/>
              </w:rPr>
            </w:pPr>
          </w:p>
        </w:tc>
        <w:tc>
          <w:tcPr>
            <w:tcW w:w="144" w:type="dxa"/>
            <w:tcBorders>
              <w:top w:val="single" w:sz="4" w:space="0" w:color="auto"/>
              <w:left w:val="nil"/>
              <w:bottom w:val="single" w:sz="4" w:space="0" w:color="auto"/>
              <w:right w:val="nil"/>
            </w:tcBorders>
            <w:shd w:val="pct12" w:color="auto" w:fill="FFFFFF"/>
          </w:tcPr>
          <w:p w14:paraId="0B60CD3D" w14:textId="77777777" w:rsidR="00DB41CD" w:rsidRPr="000A3E55" w:rsidRDefault="00DB41CD" w:rsidP="00DB41CD">
            <w:pPr>
              <w:spacing w:after="0" w:line="240" w:lineRule="auto"/>
              <w:rPr>
                <w:rFonts w:ascii="Calibri" w:eastAsia="Times New Roman" w:hAnsi="Calibri" w:cs="Arial"/>
                <w:sz w:val="20"/>
                <w:szCs w:val="20"/>
              </w:rPr>
            </w:pPr>
          </w:p>
        </w:tc>
        <w:tc>
          <w:tcPr>
            <w:tcW w:w="4838" w:type="dxa"/>
            <w:gridSpan w:val="2"/>
            <w:tcBorders>
              <w:top w:val="single" w:sz="4" w:space="0" w:color="auto"/>
              <w:left w:val="nil"/>
              <w:bottom w:val="single" w:sz="4" w:space="0" w:color="auto"/>
              <w:right w:val="nil"/>
            </w:tcBorders>
          </w:tcPr>
          <w:p w14:paraId="1BAE6684" w14:textId="77777777" w:rsidR="00DB41CD" w:rsidRPr="000A3E55" w:rsidRDefault="00DB41CD" w:rsidP="00DB41CD">
            <w:pPr>
              <w:spacing w:after="0" w:line="240" w:lineRule="auto"/>
              <w:rPr>
                <w:rFonts w:ascii="Calibri" w:eastAsia="Times New Roman" w:hAnsi="Calibri" w:cs="Arial"/>
                <w:sz w:val="20"/>
                <w:szCs w:val="20"/>
              </w:rPr>
            </w:pPr>
          </w:p>
        </w:tc>
      </w:tr>
      <w:tr w:rsidR="00DB41CD" w:rsidRPr="000A3E55" w14:paraId="2DBA6523" w14:textId="77777777" w:rsidTr="002C5F33">
        <w:tblPrEx>
          <w:tblLook w:val="04A0" w:firstRow="1" w:lastRow="0" w:firstColumn="1" w:lastColumn="0" w:noHBand="0" w:noVBand="1"/>
        </w:tblPrEx>
        <w:trPr>
          <w:gridAfter w:val="1"/>
          <w:wAfter w:w="19" w:type="dxa"/>
        </w:trPr>
        <w:tc>
          <w:tcPr>
            <w:tcW w:w="4678" w:type="dxa"/>
            <w:tcBorders>
              <w:top w:val="single" w:sz="4" w:space="0" w:color="auto"/>
              <w:left w:val="nil"/>
              <w:bottom w:val="single" w:sz="4" w:space="0" w:color="auto"/>
              <w:right w:val="nil"/>
            </w:tcBorders>
            <w:shd w:val="pct5" w:color="auto" w:fill="FFFFFF"/>
          </w:tcPr>
          <w:p w14:paraId="6427FBED" w14:textId="77777777" w:rsidR="00DB41CD" w:rsidRPr="000A3E55" w:rsidRDefault="00DB41CD" w:rsidP="00DB41CD">
            <w:pPr>
              <w:spacing w:after="0" w:line="240" w:lineRule="auto"/>
              <w:rPr>
                <w:rFonts w:ascii="Calibri" w:eastAsia="Times" w:hAnsi="Calibri" w:cs="Arial"/>
              </w:rPr>
            </w:pPr>
            <w:r w:rsidRPr="000A3E55">
              <w:rPr>
                <w:rFonts w:ascii="Calibri" w:hAnsi="Calibri"/>
              </w:rPr>
              <w:t>Website</w:t>
            </w:r>
          </w:p>
          <w:p w14:paraId="6CF8A1FD" w14:textId="77777777" w:rsidR="00DB41CD" w:rsidRPr="000A3E55" w:rsidRDefault="00DB41CD" w:rsidP="00DB41CD">
            <w:pPr>
              <w:spacing w:after="0" w:line="240" w:lineRule="auto"/>
              <w:rPr>
                <w:rFonts w:ascii="Calibri" w:eastAsia="Times" w:hAnsi="Calibri" w:cs="Arial"/>
              </w:rPr>
            </w:pPr>
          </w:p>
        </w:tc>
        <w:tc>
          <w:tcPr>
            <w:tcW w:w="144" w:type="dxa"/>
            <w:tcBorders>
              <w:top w:val="single" w:sz="4" w:space="0" w:color="auto"/>
              <w:left w:val="nil"/>
              <w:bottom w:val="single" w:sz="4" w:space="0" w:color="auto"/>
              <w:right w:val="nil"/>
            </w:tcBorders>
            <w:shd w:val="pct12" w:color="auto" w:fill="FFFFFF"/>
          </w:tcPr>
          <w:p w14:paraId="196B6085" w14:textId="77777777" w:rsidR="00DB41CD" w:rsidRPr="000A3E55" w:rsidRDefault="00DB41CD" w:rsidP="00DB41CD">
            <w:pPr>
              <w:spacing w:after="0" w:line="240" w:lineRule="auto"/>
              <w:rPr>
                <w:rFonts w:ascii="Calibri" w:eastAsia="Times New Roman" w:hAnsi="Calibri" w:cs="Arial"/>
                <w:sz w:val="20"/>
                <w:szCs w:val="20"/>
              </w:rPr>
            </w:pPr>
          </w:p>
        </w:tc>
        <w:tc>
          <w:tcPr>
            <w:tcW w:w="4819" w:type="dxa"/>
            <w:tcBorders>
              <w:top w:val="single" w:sz="4" w:space="0" w:color="auto"/>
              <w:left w:val="nil"/>
              <w:bottom w:val="single" w:sz="4" w:space="0" w:color="auto"/>
              <w:right w:val="nil"/>
            </w:tcBorders>
          </w:tcPr>
          <w:p w14:paraId="4762A0AA" w14:textId="77777777" w:rsidR="00DB41CD" w:rsidRPr="000A3E55" w:rsidRDefault="00DB41CD" w:rsidP="00DB41CD">
            <w:pPr>
              <w:spacing w:after="0" w:line="240" w:lineRule="auto"/>
              <w:rPr>
                <w:rFonts w:ascii="Calibri" w:eastAsia="Times New Roman" w:hAnsi="Calibri" w:cs="Arial"/>
                <w:sz w:val="20"/>
                <w:szCs w:val="20"/>
              </w:rPr>
            </w:pPr>
          </w:p>
        </w:tc>
      </w:tr>
    </w:tbl>
    <w:p w14:paraId="62C6BF36" w14:textId="77777777" w:rsidR="00997128" w:rsidRDefault="00997128">
      <w:r>
        <w:br w:type="page"/>
      </w:r>
    </w:p>
    <w:tbl>
      <w:tblPr>
        <w:tblW w:w="9641" w:type="dxa"/>
        <w:tblBorders>
          <w:top w:val="single" w:sz="12" w:space="0" w:color="008000"/>
          <w:bottom w:val="single" w:sz="12" w:space="0" w:color="008000"/>
        </w:tblBorders>
        <w:tblLayout w:type="fixed"/>
        <w:tblCellMar>
          <w:left w:w="0" w:type="dxa"/>
          <w:right w:w="0" w:type="dxa"/>
        </w:tblCellMar>
        <w:tblLook w:val="04A0" w:firstRow="1" w:lastRow="0" w:firstColumn="1" w:lastColumn="0" w:noHBand="0" w:noVBand="1"/>
      </w:tblPr>
      <w:tblGrid>
        <w:gridCol w:w="4678"/>
        <w:gridCol w:w="144"/>
        <w:gridCol w:w="4819"/>
      </w:tblGrid>
      <w:tr w:rsidR="00997128" w:rsidRPr="000A3E55" w14:paraId="3F132E45" w14:textId="77777777" w:rsidTr="00997128">
        <w:tc>
          <w:tcPr>
            <w:tcW w:w="4678" w:type="dxa"/>
            <w:tcBorders>
              <w:top w:val="single" w:sz="4" w:space="0" w:color="auto"/>
              <w:left w:val="nil"/>
              <w:bottom w:val="single" w:sz="4" w:space="0" w:color="auto"/>
              <w:right w:val="nil"/>
            </w:tcBorders>
            <w:shd w:val="pct5" w:color="auto" w:fill="FFFFFF"/>
          </w:tcPr>
          <w:p w14:paraId="7DA2701A" w14:textId="77777777" w:rsidR="00997128" w:rsidRPr="00997128" w:rsidRDefault="00265FDF" w:rsidP="00997128">
            <w:pPr>
              <w:spacing w:after="0" w:line="240" w:lineRule="auto"/>
              <w:rPr>
                <w:rFonts w:ascii="Calibri" w:hAnsi="Calibri"/>
                <w:b/>
                <w:bCs/>
                <w:i/>
              </w:rPr>
            </w:pPr>
            <w:r>
              <w:rPr>
                <w:rFonts w:ascii="Calibri" w:hAnsi="Calibri"/>
                <w:b/>
                <w:bCs/>
                <w:i/>
              </w:rPr>
              <w:lastRenderedPageBreak/>
              <w:t xml:space="preserve">For article 2:99a </w:t>
            </w:r>
            <w:proofErr w:type="spellStart"/>
            <w:r>
              <w:rPr>
                <w:rFonts w:ascii="Calibri" w:hAnsi="Calibri"/>
                <w:b/>
                <w:bCs/>
                <w:i/>
              </w:rPr>
              <w:t>Wft</w:t>
            </w:r>
            <w:proofErr w:type="spellEnd"/>
            <w:r>
              <w:rPr>
                <w:rFonts w:ascii="Calibri" w:hAnsi="Calibri"/>
                <w:b/>
                <w:bCs/>
                <w:i/>
              </w:rPr>
              <w:t xml:space="preserve"> application: </w:t>
            </w:r>
            <w:r w:rsidR="00997128">
              <w:rPr>
                <w:rFonts w:ascii="Calibri" w:hAnsi="Calibri"/>
                <w:b/>
                <w:bCs/>
                <w:i/>
              </w:rPr>
              <w:t xml:space="preserve">Information on the </w:t>
            </w:r>
            <w:r w:rsidR="000D3824">
              <w:rPr>
                <w:rFonts w:ascii="Calibri" w:hAnsi="Calibri"/>
                <w:b/>
                <w:bCs/>
                <w:i/>
              </w:rPr>
              <w:t xml:space="preserve">mandatory </w:t>
            </w:r>
            <w:r w:rsidR="00997128">
              <w:rPr>
                <w:rFonts w:ascii="Calibri" w:hAnsi="Calibri"/>
                <w:b/>
                <w:bCs/>
                <w:i/>
              </w:rPr>
              <w:t>branch office</w:t>
            </w:r>
            <w:r w:rsidR="003E2740">
              <w:rPr>
                <w:rFonts w:ascii="Calibri" w:hAnsi="Calibri"/>
                <w:b/>
                <w:bCs/>
                <w:i/>
              </w:rPr>
              <w:t xml:space="preserve"> in the Netherlands</w:t>
            </w:r>
          </w:p>
          <w:p w14:paraId="5BB38E74" w14:textId="77777777" w:rsidR="00997128" w:rsidRDefault="00997128" w:rsidP="00F62643">
            <w:pPr>
              <w:spacing w:after="0" w:line="240" w:lineRule="auto"/>
              <w:rPr>
                <w:rFonts w:ascii="Calibri" w:hAnsi="Calibri"/>
                <w:bCs/>
              </w:rPr>
            </w:pPr>
          </w:p>
        </w:tc>
        <w:tc>
          <w:tcPr>
            <w:tcW w:w="144" w:type="dxa"/>
            <w:tcBorders>
              <w:top w:val="single" w:sz="4" w:space="0" w:color="auto"/>
              <w:left w:val="nil"/>
              <w:bottom w:val="single" w:sz="4" w:space="0" w:color="auto"/>
              <w:right w:val="nil"/>
            </w:tcBorders>
            <w:shd w:val="pct12" w:color="auto" w:fill="FFFFFF"/>
          </w:tcPr>
          <w:p w14:paraId="126CDF78" w14:textId="77777777" w:rsidR="00997128" w:rsidRPr="000A3E55" w:rsidRDefault="00997128" w:rsidP="00F62643">
            <w:pPr>
              <w:spacing w:after="0" w:line="240" w:lineRule="auto"/>
              <w:rPr>
                <w:rFonts w:ascii="Calibri" w:eastAsia="Times New Roman" w:hAnsi="Calibri" w:cs="Arial"/>
                <w:sz w:val="20"/>
                <w:szCs w:val="20"/>
              </w:rPr>
            </w:pPr>
          </w:p>
        </w:tc>
        <w:tc>
          <w:tcPr>
            <w:tcW w:w="4819" w:type="dxa"/>
            <w:tcBorders>
              <w:top w:val="single" w:sz="4" w:space="0" w:color="auto"/>
              <w:left w:val="nil"/>
              <w:bottom w:val="single" w:sz="4" w:space="0" w:color="auto"/>
              <w:right w:val="nil"/>
            </w:tcBorders>
          </w:tcPr>
          <w:p w14:paraId="75C5C493" w14:textId="77777777" w:rsidR="00997128" w:rsidRPr="000A3E55" w:rsidRDefault="00997128" w:rsidP="00F62643">
            <w:pPr>
              <w:spacing w:after="0" w:line="240" w:lineRule="auto"/>
              <w:rPr>
                <w:rFonts w:ascii="Calibri" w:eastAsia="Times New Roman" w:hAnsi="Calibri" w:cs="Arial"/>
                <w:sz w:val="20"/>
                <w:szCs w:val="20"/>
              </w:rPr>
            </w:pPr>
          </w:p>
        </w:tc>
      </w:tr>
      <w:tr w:rsidR="00F62643" w:rsidRPr="000A3E55" w14:paraId="6FD04985" w14:textId="77777777" w:rsidTr="00997128">
        <w:tc>
          <w:tcPr>
            <w:tcW w:w="4678" w:type="dxa"/>
            <w:tcBorders>
              <w:top w:val="single" w:sz="4" w:space="0" w:color="auto"/>
              <w:left w:val="nil"/>
              <w:bottom w:val="single" w:sz="4" w:space="0" w:color="auto"/>
              <w:right w:val="nil"/>
            </w:tcBorders>
            <w:shd w:val="pct5" w:color="auto" w:fill="FFFFFF"/>
          </w:tcPr>
          <w:p w14:paraId="5DE2D213" w14:textId="77777777" w:rsidR="00F62643" w:rsidRPr="000A3E55" w:rsidRDefault="00997128" w:rsidP="00F62643">
            <w:pPr>
              <w:spacing w:after="0" w:line="240" w:lineRule="auto"/>
              <w:rPr>
                <w:rFonts w:ascii="Calibri" w:eastAsia="Times" w:hAnsi="Calibri" w:cs="Arial"/>
                <w:i/>
                <w:iCs/>
              </w:rPr>
            </w:pPr>
            <w:r>
              <w:rPr>
                <w:rFonts w:ascii="Calibri" w:hAnsi="Calibri"/>
                <w:bCs/>
              </w:rPr>
              <w:t>A</w:t>
            </w:r>
            <w:r w:rsidR="00F62643">
              <w:rPr>
                <w:rFonts w:ascii="Calibri" w:hAnsi="Calibri"/>
                <w:bCs/>
              </w:rPr>
              <w:t xml:space="preserve">ddress of the branch office </w:t>
            </w:r>
          </w:p>
          <w:p w14:paraId="61A207E7" w14:textId="77777777" w:rsidR="00F62643" w:rsidRPr="000A3E55" w:rsidRDefault="00F62643" w:rsidP="00F62643">
            <w:pPr>
              <w:spacing w:after="0" w:line="240" w:lineRule="auto"/>
              <w:rPr>
                <w:rFonts w:ascii="Calibri" w:eastAsia="Times" w:hAnsi="Calibri" w:cs="Arial"/>
                <w:i/>
                <w:iCs/>
              </w:rPr>
            </w:pPr>
          </w:p>
        </w:tc>
        <w:tc>
          <w:tcPr>
            <w:tcW w:w="144" w:type="dxa"/>
            <w:tcBorders>
              <w:top w:val="single" w:sz="4" w:space="0" w:color="auto"/>
              <w:left w:val="nil"/>
              <w:bottom w:val="single" w:sz="4" w:space="0" w:color="auto"/>
              <w:right w:val="nil"/>
            </w:tcBorders>
            <w:shd w:val="pct12" w:color="auto" w:fill="FFFFFF"/>
          </w:tcPr>
          <w:p w14:paraId="2016236E" w14:textId="77777777" w:rsidR="00F62643" w:rsidRPr="000A3E55" w:rsidRDefault="00F62643" w:rsidP="00F62643">
            <w:pPr>
              <w:spacing w:after="0" w:line="240" w:lineRule="auto"/>
              <w:rPr>
                <w:rFonts w:ascii="Calibri" w:eastAsia="Times New Roman" w:hAnsi="Calibri" w:cs="Arial"/>
                <w:sz w:val="20"/>
                <w:szCs w:val="20"/>
              </w:rPr>
            </w:pPr>
          </w:p>
        </w:tc>
        <w:tc>
          <w:tcPr>
            <w:tcW w:w="4819" w:type="dxa"/>
            <w:tcBorders>
              <w:top w:val="single" w:sz="4" w:space="0" w:color="auto"/>
              <w:left w:val="nil"/>
              <w:bottom w:val="single" w:sz="4" w:space="0" w:color="auto"/>
              <w:right w:val="nil"/>
            </w:tcBorders>
          </w:tcPr>
          <w:p w14:paraId="0C59E5C4" w14:textId="77777777" w:rsidR="00F62643" w:rsidRPr="000A3E55" w:rsidRDefault="00F62643" w:rsidP="00F62643">
            <w:pPr>
              <w:spacing w:after="0" w:line="240" w:lineRule="auto"/>
              <w:rPr>
                <w:rFonts w:ascii="Calibri" w:eastAsia="Times New Roman" w:hAnsi="Calibri" w:cs="Arial"/>
                <w:sz w:val="20"/>
                <w:szCs w:val="20"/>
              </w:rPr>
            </w:pPr>
          </w:p>
        </w:tc>
      </w:tr>
      <w:tr w:rsidR="00F62643" w:rsidRPr="000A3E55" w14:paraId="104AC7CC" w14:textId="77777777" w:rsidTr="00997128">
        <w:tc>
          <w:tcPr>
            <w:tcW w:w="4678" w:type="dxa"/>
            <w:tcBorders>
              <w:top w:val="single" w:sz="4" w:space="0" w:color="auto"/>
              <w:left w:val="nil"/>
              <w:bottom w:val="single" w:sz="4" w:space="0" w:color="auto"/>
              <w:right w:val="nil"/>
            </w:tcBorders>
            <w:shd w:val="pct5" w:color="auto" w:fill="FFFFFF"/>
          </w:tcPr>
          <w:p w14:paraId="24A171CC" w14:textId="77777777" w:rsidR="00F62643" w:rsidRDefault="00997128" w:rsidP="00F62643">
            <w:pPr>
              <w:tabs>
                <w:tab w:val="left" w:pos="426"/>
              </w:tabs>
              <w:spacing w:after="0" w:line="240" w:lineRule="auto"/>
              <w:outlineLvl w:val="0"/>
              <w:rPr>
                <w:rFonts w:ascii="Calibri" w:hAnsi="Calibri"/>
                <w:bCs/>
              </w:rPr>
            </w:pPr>
            <w:r>
              <w:rPr>
                <w:rFonts w:ascii="Calibri" w:hAnsi="Calibri"/>
                <w:bCs/>
              </w:rPr>
              <w:t>Postal code and city of branch</w:t>
            </w:r>
            <w:r w:rsidR="00F62643">
              <w:rPr>
                <w:rFonts w:ascii="Calibri" w:hAnsi="Calibri"/>
                <w:bCs/>
              </w:rPr>
              <w:t xml:space="preserve"> office</w:t>
            </w:r>
          </w:p>
          <w:p w14:paraId="609769F6" w14:textId="77777777" w:rsidR="00F62643" w:rsidRPr="000A3E55" w:rsidRDefault="00F62643" w:rsidP="00F62643">
            <w:pPr>
              <w:tabs>
                <w:tab w:val="left" w:pos="426"/>
              </w:tabs>
              <w:spacing w:after="0" w:line="240" w:lineRule="auto"/>
              <w:outlineLvl w:val="0"/>
              <w:rPr>
                <w:rFonts w:ascii="Calibri" w:hAnsi="Calibri"/>
                <w:bCs/>
              </w:rPr>
            </w:pPr>
          </w:p>
        </w:tc>
        <w:tc>
          <w:tcPr>
            <w:tcW w:w="144" w:type="dxa"/>
            <w:tcBorders>
              <w:top w:val="single" w:sz="4" w:space="0" w:color="auto"/>
              <w:left w:val="nil"/>
              <w:bottom w:val="single" w:sz="4" w:space="0" w:color="auto"/>
              <w:right w:val="nil"/>
            </w:tcBorders>
            <w:shd w:val="pct12" w:color="auto" w:fill="FFFFFF"/>
          </w:tcPr>
          <w:p w14:paraId="2BC8EDD1" w14:textId="77777777" w:rsidR="00F62643" w:rsidRPr="000A3E55" w:rsidRDefault="00F62643" w:rsidP="00F62643">
            <w:pPr>
              <w:spacing w:after="0" w:line="240" w:lineRule="auto"/>
              <w:rPr>
                <w:rFonts w:ascii="Calibri" w:eastAsia="Times New Roman" w:hAnsi="Calibri" w:cs="Arial"/>
                <w:sz w:val="20"/>
                <w:szCs w:val="20"/>
              </w:rPr>
            </w:pPr>
          </w:p>
        </w:tc>
        <w:tc>
          <w:tcPr>
            <w:tcW w:w="4819" w:type="dxa"/>
            <w:tcBorders>
              <w:top w:val="single" w:sz="4" w:space="0" w:color="auto"/>
              <w:left w:val="nil"/>
              <w:bottom w:val="single" w:sz="4" w:space="0" w:color="auto"/>
              <w:right w:val="nil"/>
            </w:tcBorders>
          </w:tcPr>
          <w:p w14:paraId="56583088" w14:textId="77777777" w:rsidR="00F62643" w:rsidRPr="000A3E55" w:rsidRDefault="00F62643" w:rsidP="00F62643">
            <w:pPr>
              <w:spacing w:after="0" w:line="240" w:lineRule="auto"/>
              <w:rPr>
                <w:rFonts w:ascii="Calibri" w:eastAsia="Times New Roman" w:hAnsi="Calibri" w:cs="Arial"/>
                <w:sz w:val="20"/>
                <w:szCs w:val="20"/>
              </w:rPr>
            </w:pPr>
          </w:p>
        </w:tc>
      </w:tr>
      <w:tr w:rsidR="00F62643" w:rsidRPr="000A3E55" w14:paraId="6C4255AE" w14:textId="77777777" w:rsidTr="00997128">
        <w:tc>
          <w:tcPr>
            <w:tcW w:w="4678" w:type="dxa"/>
            <w:tcBorders>
              <w:top w:val="single" w:sz="4" w:space="0" w:color="auto"/>
              <w:left w:val="nil"/>
              <w:bottom w:val="single" w:sz="4" w:space="0" w:color="auto"/>
              <w:right w:val="nil"/>
            </w:tcBorders>
            <w:shd w:val="pct5" w:color="auto" w:fill="FFFFFF"/>
          </w:tcPr>
          <w:p w14:paraId="1FDF904A" w14:textId="77777777" w:rsidR="00F62643" w:rsidRPr="000A3E55" w:rsidRDefault="00F62643" w:rsidP="00F62643">
            <w:pPr>
              <w:tabs>
                <w:tab w:val="left" w:pos="426"/>
              </w:tabs>
              <w:spacing w:after="0" w:line="240" w:lineRule="auto"/>
              <w:outlineLvl w:val="0"/>
              <w:rPr>
                <w:rFonts w:ascii="Calibri" w:eastAsia="Times New Roman" w:hAnsi="Calibri" w:cs="Arial"/>
                <w:bCs/>
              </w:rPr>
            </w:pPr>
            <w:r w:rsidRPr="000A3E55">
              <w:rPr>
                <w:rFonts w:ascii="Calibri" w:hAnsi="Calibri"/>
                <w:bCs/>
              </w:rPr>
              <w:t>Registration number</w:t>
            </w:r>
            <w:r>
              <w:rPr>
                <w:rFonts w:ascii="Calibri" w:hAnsi="Calibri"/>
                <w:bCs/>
              </w:rPr>
              <w:t xml:space="preserve"> of the branch office</w:t>
            </w:r>
            <w:r w:rsidRPr="000A3E55">
              <w:rPr>
                <w:rFonts w:ascii="Calibri" w:hAnsi="Calibri"/>
                <w:bCs/>
              </w:rPr>
              <w:t xml:space="preserve"> in trade register </w:t>
            </w:r>
          </w:p>
          <w:p w14:paraId="5EAF1CAE" w14:textId="77777777" w:rsidR="00F62643" w:rsidRPr="000A3E55" w:rsidRDefault="00F62643" w:rsidP="00F62643">
            <w:pPr>
              <w:tabs>
                <w:tab w:val="left" w:pos="426"/>
              </w:tabs>
              <w:spacing w:after="0" w:line="240" w:lineRule="auto"/>
              <w:outlineLvl w:val="0"/>
              <w:rPr>
                <w:rFonts w:ascii="Calibri" w:eastAsia="Times New Roman" w:hAnsi="Calibri" w:cs="Arial"/>
                <w:bCs/>
              </w:rPr>
            </w:pPr>
          </w:p>
        </w:tc>
        <w:tc>
          <w:tcPr>
            <w:tcW w:w="144" w:type="dxa"/>
            <w:tcBorders>
              <w:top w:val="single" w:sz="4" w:space="0" w:color="auto"/>
              <w:left w:val="nil"/>
              <w:bottom w:val="single" w:sz="4" w:space="0" w:color="auto"/>
              <w:right w:val="nil"/>
            </w:tcBorders>
            <w:shd w:val="pct12" w:color="auto" w:fill="FFFFFF"/>
          </w:tcPr>
          <w:p w14:paraId="7EEC2915" w14:textId="77777777" w:rsidR="00F62643" w:rsidRPr="000A3E55" w:rsidRDefault="00F62643" w:rsidP="00F62643">
            <w:pPr>
              <w:spacing w:after="0" w:line="240" w:lineRule="auto"/>
              <w:rPr>
                <w:rFonts w:ascii="Calibri" w:eastAsia="Times New Roman" w:hAnsi="Calibri" w:cs="Arial"/>
                <w:sz w:val="20"/>
                <w:szCs w:val="20"/>
              </w:rPr>
            </w:pPr>
          </w:p>
        </w:tc>
        <w:tc>
          <w:tcPr>
            <w:tcW w:w="4819" w:type="dxa"/>
            <w:tcBorders>
              <w:top w:val="single" w:sz="4" w:space="0" w:color="auto"/>
              <w:left w:val="nil"/>
              <w:bottom w:val="single" w:sz="4" w:space="0" w:color="auto"/>
              <w:right w:val="nil"/>
            </w:tcBorders>
          </w:tcPr>
          <w:p w14:paraId="44F0FDB8" w14:textId="77777777" w:rsidR="00F62643" w:rsidRPr="000A3E55" w:rsidRDefault="00F62643" w:rsidP="00F62643">
            <w:pPr>
              <w:spacing w:after="0" w:line="240" w:lineRule="auto"/>
              <w:rPr>
                <w:rFonts w:ascii="Calibri" w:eastAsia="Times New Roman" w:hAnsi="Calibri" w:cs="Arial"/>
                <w:sz w:val="20"/>
                <w:szCs w:val="20"/>
              </w:rPr>
            </w:pPr>
          </w:p>
        </w:tc>
      </w:tr>
      <w:tr w:rsidR="00F62643" w:rsidRPr="000A3E55" w14:paraId="003C6C6D" w14:textId="77777777" w:rsidTr="00997128">
        <w:tc>
          <w:tcPr>
            <w:tcW w:w="4678" w:type="dxa"/>
            <w:tcBorders>
              <w:top w:val="single" w:sz="4" w:space="0" w:color="auto"/>
              <w:left w:val="nil"/>
              <w:bottom w:val="single" w:sz="4" w:space="0" w:color="auto"/>
              <w:right w:val="nil"/>
            </w:tcBorders>
            <w:shd w:val="pct5" w:color="auto" w:fill="FFFFFF"/>
          </w:tcPr>
          <w:p w14:paraId="47DDEC3F" w14:textId="77777777" w:rsidR="00F62643" w:rsidRPr="000A3E55" w:rsidRDefault="00F62643" w:rsidP="00F62643">
            <w:pPr>
              <w:tabs>
                <w:tab w:val="left" w:pos="426"/>
              </w:tabs>
              <w:spacing w:after="0" w:line="240" w:lineRule="auto"/>
              <w:outlineLvl w:val="0"/>
              <w:rPr>
                <w:rFonts w:ascii="Calibri" w:eastAsia="Times New Roman" w:hAnsi="Calibri" w:cs="Arial"/>
                <w:bCs/>
              </w:rPr>
            </w:pPr>
            <w:r>
              <w:rPr>
                <w:rFonts w:ascii="Calibri" w:hAnsi="Calibri"/>
                <w:bCs/>
              </w:rPr>
              <w:t>LEI code of the branch office (if available)</w:t>
            </w:r>
          </w:p>
          <w:p w14:paraId="27BD066E" w14:textId="77777777" w:rsidR="00F62643" w:rsidRPr="000A3E55" w:rsidRDefault="00F62643" w:rsidP="00F62643">
            <w:pPr>
              <w:tabs>
                <w:tab w:val="left" w:pos="426"/>
              </w:tabs>
              <w:spacing w:after="0" w:line="240" w:lineRule="auto"/>
              <w:outlineLvl w:val="0"/>
              <w:rPr>
                <w:rFonts w:ascii="Calibri" w:eastAsia="Times New Roman" w:hAnsi="Calibri" w:cs="Arial"/>
                <w:bCs/>
              </w:rPr>
            </w:pPr>
          </w:p>
        </w:tc>
        <w:tc>
          <w:tcPr>
            <w:tcW w:w="144" w:type="dxa"/>
            <w:tcBorders>
              <w:top w:val="single" w:sz="4" w:space="0" w:color="auto"/>
              <w:left w:val="nil"/>
              <w:bottom w:val="single" w:sz="4" w:space="0" w:color="auto"/>
              <w:right w:val="nil"/>
            </w:tcBorders>
            <w:shd w:val="pct12" w:color="auto" w:fill="FFFFFF"/>
          </w:tcPr>
          <w:p w14:paraId="19AC5FC3" w14:textId="77777777" w:rsidR="00F62643" w:rsidRPr="000A3E55" w:rsidRDefault="00F62643" w:rsidP="00F62643">
            <w:pPr>
              <w:spacing w:after="0" w:line="240" w:lineRule="auto"/>
              <w:rPr>
                <w:rFonts w:ascii="Calibri" w:eastAsia="Times New Roman" w:hAnsi="Calibri" w:cs="Arial"/>
                <w:sz w:val="20"/>
                <w:szCs w:val="20"/>
              </w:rPr>
            </w:pPr>
          </w:p>
        </w:tc>
        <w:tc>
          <w:tcPr>
            <w:tcW w:w="4819" w:type="dxa"/>
            <w:tcBorders>
              <w:top w:val="single" w:sz="4" w:space="0" w:color="auto"/>
              <w:left w:val="nil"/>
              <w:bottom w:val="single" w:sz="4" w:space="0" w:color="auto"/>
              <w:right w:val="nil"/>
            </w:tcBorders>
          </w:tcPr>
          <w:p w14:paraId="04E27F5B" w14:textId="77777777" w:rsidR="00F62643" w:rsidRPr="000A3E55" w:rsidRDefault="00F62643" w:rsidP="00F62643">
            <w:pPr>
              <w:spacing w:after="0" w:line="240" w:lineRule="auto"/>
              <w:rPr>
                <w:rFonts w:ascii="Calibri" w:eastAsia="Times New Roman" w:hAnsi="Calibri" w:cs="Arial"/>
                <w:sz w:val="20"/>
                <w:szCs w:val="20"/>
              </w:rPr>
            </w:pPr>
          </w:p>
        </w:tc>
      </w:tr>
      <w:tr w:rsidR="00F62643" w:rsidRPr="000A3E55" w14:paraId="199EC338" w14:textId="77777777" w:rsidTr="00997128">
        <w:tc>
          <w:tcPr>
            <w:tcW w:w="4678" w:type="dxa"/>
            <w:tcBorders>
              <w:top w:val="single" w:sz="4" w:space="0" w:color="auto"/>
              <w:left w:val="nil"/>
              <w:bottom w:val="single" w:sz="4" w:space="0" w:color="auto"/>
              <w:right w:val="nil"/>
            </w:tcBorders>
            <w:shd w:val="pct5" w:color="auto" w:fill="FFFFFF"/>
          </w:tcPr>
          <w:p w14:paraId="29184513" w14:textId="77777777" w:rsidR="00F62643" w:rsidRPr="000A3E55" w:rsidRDefault="00F62643" w:rsidP="00F62643">
            <w:pPr>
              <w:spacing w:after="0" w:line="240" w:lineRule="auto"/>
              <w:rPr>
                <w:rFonts w:ascii="Calibri" w:eastAsia="Times" w:hAnsi="Calibri" w:cs="Arial"/>
              </w:rPr>
            </w:pPr>
            <w:r>
              <w:rPr>
                <w:rFonts w:ascii="Calibri" w:hAnsi="Calibri"/>
                <w:bCs/>
              </w:rPr>
              <w:t>Telephone number of the branch office</w:t>
            </w:r>
          </w:p>
          <w:p w14:paraId="231EBB94" w14:textId="77777777" w:rsidR="00F62643" w:rsidRPr="000A3E55" w:rsidRDefault="00F62643" w:rsidP="00F62643">
            <w:pPr>
              <w:spacing w:after="0" w:line="240" w:lineRule="auto"/>
              <w:rPr>
                <w:rFonts w:ascii="Calibri" w:eastAsia="Times" w:hAnsi="Calibri" w:cs="Arial"/>
              </w:rPr>
            </w:pPr>
          </w:p>
        </w:tc>
        <w:tc>
          <w:tcPr>
            <w:tcW w:w="144" w:type="dxa"/>
            <w:tcBorders>
              <w:top w:val="single" w:sz="4" w:space="0" w:color="auto"/>
              <w:left w:val="nil"/>
              <w:bottom w:val="single" w:sz="4" w:space="0" w:color="auto"/>
              <w:right w:val="nil"/>
            </w:tcBorders>
            <w:shd w:val="pct12" w:color="auto" w:fill="FFFFFF"/>
          </w:tcPr>
          <w:p w14:paraId="6D0EDE2D" w14:textId="77777777" w:rsidR="00F62643" w:rsidRPr="000A3E55" w:rsidRDefault="00F62643" w:rsidP="00F62643">
            <w:pPr>
              <w:spacing w:after="0" w:line="240" w:lineRule="auto"/>
              <w:rPr>
                <w:rFonts w:ascii="Calibri" w:eastAsia="Times New Roman" w:hAnsi="Calibri" w:cs="Arial"/>
                <w:sz w:val="20"/>
                <w:szCs w:val="20"/>
              </w:rPr>
            </w:pPr>
          </w:p>
        </w:tc>
        <w:tc>
          <w:tcPr>
            <w:tcW w:w="4819" w:type="dxa"/>
            <w:tcBorders>
              <w:top w:val="single" w:sz="4" w:space="0" w:color="auto"/>
              <w:left w:val="nil"/>
              <w:bottom w:val="single" w:sz="4" w:space="0" w:color="auto"/>
              <w:right w:val="nil"/>
            </w:tcBorders>
          </w:tcPr>
          <w:p w14:paraId="6E6E5423" w14:textId="77777777" w:rsidR="00F62643" w:rsidRPr="000A3E55" w:rsidRDefault="00F62643" w:rsidP="00F62643">
            <w:pPr>
              <w:spacing w:after="0" w:line="240" w:lineRule="auto"/>
              <w:rPr>
                <w:rFonts w:ascii="Calibri" w:eastAsia="Times New Roman" w:hAnsi="Calibri" w:cs="Arial"/>
                <w:sz w:val="20"/>
                <w:szCs w:val="20"/>
              </w:rPr>
            </w:pPr>
          </w:p>
        </w:tc>
      </w:tr>
      <w:tr w:rsidR="00265FDF" w:rsidRPr="000A3E55" w14:paraId="57FBB357" w14:textId="77777777" w:rsidTr="00997128">
        <w:tc>
          <w:tcPr>
            <w:tcW w:w="4678" w:type="dxa"/>
            <w:tcBorders>
              <w:top w:val="single" w:sz="4" w:space="0" w:color="auto"/>
              <w:left w:val="nil"/>
              <w:bottom w:val="single" w:sz="4" w:space="0" w:color="auto"/>
              <w:right w:val="nil"/>
            </w:tcBorders>
            <w:shd w:val="pct5" w:color="auto" w:fill="FFFFFF"/>
          </w:tcPr>
          <w:p w14:paraId="7AB40299" w14:textId="77777777" w:rsidR="00265FDF" w:rsidRDefault="00265FDF" w:rsidP="00F62643">
            <w:pPr>
              <w:spacing w:after="0" w:line="240" w:lineRule="auto"/>
              <w:rPr>
                <w:rFonts w:ascii="Calibri" w:hAnsi="Calibri"/>
                <w:bCs/>
              </w:rPr>
            </w:pPr>
            <w:r>
              <w:rPr>
                <w:rFonts w:ascii="Calibri" w:hAnsi="Calibri"/>
                <w:bCs/>
              </w:rPr>
              <w:t>Name of contact person and contact data within the branch office</w:t>
            </w:r>
          </w:p>
          <w:p w14:paraId="66D49DD1" w14:textId="77777777" w:rsidR="00265FDF" w:rsidRDefault="00265FDF" w:rsidP="00F62643">
            <w:pPr>
              <w:spacing w:after="0" w:line="240" w:lineRule="auto"/>
              <w:rPr>
                <w:rFonts w:ascii="Calibri" w:hAnsi="Calibri"/>
                <w:bCs/>
              </w:rPr>
            </w:pPr>
          </w:p>
        </w:tc>
        <w:tc>
          <w:tcPr>
            <w:tcW w:w="144" w:type="dxa"/>
            <w:tcBorders>
              <w:top w:val="single" w:sz="4" w:space="0" w:color="auto"/>
              <w:left w:val="nil"/>
              <w:bottom w:val="single" w:sz="4" w:space="0" w:color="auto"/>
              <w:right w:val="nil"/>
            </w:tcBorders>
            <w:shd w:val="pct12" w:color="auto" w:fill="FFFFFF"/>
          </w:tcPr>
          <w:p w14:paraId="05B74D0C" w14:textId="77777777" w:rsidR="00265FDF" w:rsidRPr="000A3E55" w:rsidRDefault="00265FDF" w:rsidP="00F62643">
            <w:pPr>
              <w:spacing w:after="0" w:line="240" w:lineRule="auto"/>
              <w:rPr>
                <w:rFonts w:ascii="Calibri" w:eastAsia="Times New Roman" w:hAnsi="Calibri" w:cs="Arial"/>
                <w:sz w:val="20"/>
                <w:szCs w:val="20"/>
              </w:rPr>
            </w:pPr>
          </w:p>
        </w:tc>
        <w:tc>
          <w:tcPr>
            <w:tcW w:w="4819" w:type="dxa"/>
            <w:tcBorders>
              <w:top w:val="single" w:sz="4" w:space="0" w:color="auto"/>
              <w:left w:val="nil"/>
              <w:bottom w:val="single" w:sz="4" w:space="0" w:color="auto"/>
              <w:right w:val="nil"/>
            </w:tcBorders>
          </w:tcPr>
          <w:p w14:paraId="64136AF9" w14:textId="77777777" w:rsidR="00265FDF" w:rsidRPr="000A3E55" w:rsidRDefault="00265FDF" w:rsidP="00F62643">
            <w:pPr>
              <w:spacing w:after="0" w:line="240" w:lineRule="auto"/>
              <w:rPr>
                <w:rFonts w:ascii="Calibri" w:eastAsia="Times New Roman" w:hAnsi="Calibri" w:cs="Arial"/>
                <w:sz w:val="20"/>
                <w:szCs w:val="20"/>
              </w:rPr>
            </w:pPr>
          </w:p>
        </w:tc>
      </w:tr>
      <w:tr w:rsidR="00265FDF" w:rsidRPr="000A3E55" w14:paraId="0F5D429D" w14:textId="77777777" w:rsidTr="00997128">
        <w:tc>
          <w:tcPr>
            <w:tcW w:w="4678" w:type="dxa"/>
            <w:tcBorders>
              <w:top w:val="single" w:sz="4" w:space="0" w:color="auto"/>
              <w:left w:val="nil"/>
              <w:bottom w:val="single" w:sz="4" w:space="0" w:color="auto"/>
              <w:right w:val="nil"/>
            </w:tcBorders>
            <w:shd w:val="pct5" w:color="auto" w:fill="FFFFFF"/>
          </w:tcPr>
          <w:p w14:paraId="6E1BE51F" w14:textId="77777777" w:rsidR="00265FDF" w:rsidRPr="00997128" w:rsidRDefault="00265FDF" w:rsidP="00265FDF">
            <w:pPr>
              <w:spacing w:after="0" w:line="240" w:lineRule="auto"/>
              <w:rPr>
                <w:rFonts w:ascii="Calibri" w:hAnsi="Calibri"/>
                <w:b/>
                <w:bCs/>
                <w:i/>
              </w:rPr>
            </w:pPr>
            <w:r>
              <w:rPr>
                <w:rFonts w:ascii="Calibri" w:hAnsi="Calibri"/>
                <w:b/>
                <w:bCs/>
                <w:i/>
              </w:rPr>
              <w:t xml:space="preserve">For article 2:99b </w:t>
            </w:r>
            <w:proofErr w:type="spellStart"/>
            <w:r>
              <w:rPr>
                <w:rFonts w:ascii="Calibri" w:hAnsi="Calibri"/>
                <w:b/>
                <w:bCs/>
                <w:i/>
              </w:rPr>
              <w:t>Wft</w:t>
            </w:r>
            <w:proofErr w:type="spellEnd"/>
            <w:r>
              <w:rPr>
                <w:rFonts w:ascii="Calibri" w:hAnsi="Calibri"/>
                <w:b/>
                <w:bCs/>
                <w:i/>
              </w:rPr>
              <w:t xml:space="preserve"> application: Information on the </w:t>
            </w:r>
            <w:r w:rsidR="000D3824">
              <w:rPr>
                <w:rFonts w:ascii="Calibri" w:hAnsi="Calibri"/>
                <w:b/>
                <w:bCs/>
                <w:i/>
              </w:rPr>
              <w:t xml:space="preserve">mandatory </w:t>
            </w:r>
            <w:r>
              <w:rPr>
                <w:rFonts w:ascii="Calibri" w:hAnsi="Calibri"/>
                <w:b/>
                <w:bCs/>
                <w:i/>
              </w:rPr>
              <w:t>representative in the Netherlands</w:t>
            </w:r>
          </w:p>
          <w:p w14:paraId="3F31D245" w14:textId="77777777" w:rsidR="00265FDF" w:rsidRDefault="00265FDF" w:rsidP="00265FDF">
            <w:pPr>
              <w:spacing w:after="0" w:line="240" w:lineRule="auto"/>
              <w:rPr>
                <w:rFonts w:ascii="Calibri" w:hAnsi="Calibri"/>
                <w:bCs/>
              </w:rPr>
            </w:pPr>
          </w:p>
        </w:tc>
        <w:tc>
          <w:tcPr>
            <w:tcW w:w="144" w:type="dxa"/>
            <w:tcBorders>
              <w:top w:val="single" w:sz="4" w:space="0" w:color="auto"/>
              <w:left w:val="nil"/>
              <w:bottom w:val="single" w:sz="4" w:space="0" w:color="auto"/>
              <w:right w:val="nil"/>
            </w:tcBorders>
            <w:shd w:val="pct12" w:color="auto" w:fill="FFFFFF"/>
          </w:tcPr>
          <w:p w14:paraId="755C6C37" w14:textId="77777777" w:rsidR="00265FDF" w:rsidRPr="000A3E55" w:rsidRDefault="00265FDF" w:rsidP="00265FDF">
            <w:pPr>
              <w:spacing w:after="0" w:line="240" w:lineRule="auto"/>
              <w:rPr>
                <w:rFonts w:ascii="Calibri" w:eastAsia="Times New Roman" w:hAnsi="Calibri" w:cs="Arial"/>
                <w:sz w:val="20"/>
                <w:szCs w:val="20"/>
              </w:rPr>
            </w:pPr>
          </w:p>
        </w:tc>
        <w:tc>
          <w:tcPr>
            <w:tcW w:w="4819" w:type="dxa"/>
            <w:tcBorders>
              <w:top w:val="single" w:sz="4" w:space="0" w:color="auto"/>
              <w:left w:val="nil"/>
              <w:bottom w:val="single" w:sz="4" w:space="0" w:color="auto"/>
              <w:right w:val="nil"/>
            </w:tcBorders>
          </w:tcPr>
          <w:p w14:paraId="75B0814C" w14:textId="77777777" w:rsidR="00265FDF" w:rsidRPr="000A3E55" w:rsidRDefault="00265FDF" w:rsidP="00265FDF">
            <w:pPr>
              <w:spacing w:after="0" w:line="240" w:lineRule="auto"/>
              <w:rPr>
                <w:rFonts w:ascii="Calibri" w:eastAsia="Times New Roman" w:hAnsi="Calibri" w:cs="Arial"/>
                <w:sz w:val="20"/>
                <w:szCs w:val="20"/>
              </w:rPr>
            </w:pPr>
          </w:p>
        </w:tc>
      </w:tr>
      <w:tr w:rsidR="00265FDF" w:rsidRPr="000A3E55" w14:paraId="3FE0DE28" w14:textId="77777777" w:rsidTr="00997128">
        <w:tc>
          <w:tcPr>
            <w:tcW w:w="4678" w:type="dxa"/>
            <w:tcBorders>
              <w:top w:val="single" w:sz="4" w:space="0" w:color="auto"/>
              <w:left w:val="nil"/>
              <w:bottom w:val="single" w:sz="4" w:space="0" w:color="auto"/>
              <w:right w:val="nil"/>
            </w:tcBorders>
            <w:shd w:val="pct5" w:color="auto" w:fill="FFFFFF"/>
          </w:tcPr>
          <w:p w14:paraId="07D13A36" w14:textId="77777777" w:rsidR="00265FDF" w:rsidRPr="000A3E55" w:rsidRDefault="00265FDF" w:rsidP="00265FDF">
            <w:pPr>
              <w:spacing w:after="0" w:line="240" w:lineRule="auto"/>
              <w:rPr>
                <w:rFonts w:ascii="Calibri" w:eastAsia="Times" w:hAnsi="Calibri" w:cs="Arial"/>
                <w:i/>
                <w:iCs/>
              </w:rPr>
            </w:pPr>
            <w:r>
              <w:rPr>
                <w:rFonts w:ascii="Calibri" w:hAnsi="Calibri"/>
                <w:bCs/>
              </w:rPr>
              <w:t>Name of the representative</w:t>
            </w:r>
          </w:p>
          <w:p w14:paraId="00B2CD70" w14:textId="77777777" w:rsidR="00265FDF" w:rsidRDefault="00265FDF" w:rsidP="00265FDF">
            <w:pPr>
              <w:spacing w:after="0" w:line="240" w:lineRule="auto"/>
              <w:rPr>
                <w:rFonts w:ascii="Calibri" w:hAnsi="Calibri"/>
                <w:bCs/>
              </w:rPr>
            </w:pPr>
          </w:p>
        </w:tc>
        <w:tc>
          <w:tcPr>
            <w:tcW w:w="144" w:type="dxa"/>
            <w:tcBorders>
              <w:top w:val="single" w:sz="4" w:space="0" w:color="auto"/>
              <w:left w:val="nil"/>
              <w:bottom w:val="single" w:sz="4" w:space="0" w:color="auto"/>
              <w:right w:val="nil"/>
            </w:tcBorders>
            <w:shd w:val="pct12" w:color="auto" w:fill="FFFFFF"/>
          </w:tcPr>
          <w:p w14:paraId="667FEE6B" w14:textId="77777777" w:rsidR="00265FDF" w:rsidRPr="000A3E55" w:rsidRDefault="00265FDF" w:rsidP="00265FDF">
            <w:pPr>
              <w:spacing w:after="0" w:line="240" w:lineRule="auto"/>
              <w:rPr>
                <w:rFonts w:ascii="Calibri" w:eastAsia="Times New Roman" w:hAnsi="Calibri" w:cs="Arial"/>
                <w:sz w:val="20"/>
                <w:szCs w:val="20"/>
              </w:rPr>
            </w:pPr>
          </w:p>
        </w:tc>
        <w:tc>
          <w:tcPr>
            <w:tcW w:w="4819" w:type="dxa"/>
            <w:tcBorders>
              <w:top w:val="single" w:sz="4" w:space="0" w:color="auto"/>
              <w:left w:val="nil"/>
              <w:bottom w:val="single" w:sz="4" w:space="0" w:color="auto"/>
              <w:right w:val="nil"/>
            </w:tcBorders>
          </w:tcPr>
          <w:p w14:paraId="54EA6992" w14:textId="77777777" w:rsidR="00265FDF" w:rsidRPr="000A3E55" w:rsidRDefault="00265FDF" w:rsidP="00265FDF">
            <w:pPr>
              <w:spacing w:after="0" w:line="240" w:lineRule="auto"/>
              <w:rPr>
                <w:rFonts w:ascii="Calibri" w:eastAsia="Times New Roman" w:hAnsi="Calibri" w:cs="Arial"/>
                <w:sz w:val="20"/>
                <w:szCs w:val="20"/>
              </w:rPr>
            </w:pPr>
          </w:p>
        </w:tc>
      </w:tr>
      <w:tr w:rsidR="00265FDF" w:rsidRPr="000A3E55" w14:paraId="6FB27174" w14:textId="77777777" w:rsidTr="00997128">
        <w:tc>
          <w:tcPr>
            <w:tcW w:w="4678" w:type="dxa"/>
            <w:tcBorders>
              <w:top w:val="single" w:sz="4" w:space="0" w:color="auto"/>
              <w:left w:val="nil"/>
              <w:bottom w:val="single" w:sz="4" w:space="0" w:color="auto"/>
              <w:right w:val="nil"/>
            </w:tcBorders>
            <w:shd w:val="pct5" w:color="auto" w:fill="FFFFFF"/>
          </w:tcPr>
          <w:p w14:paraId="30B76F63" w14:textId="77777777" w:rsidR="00265FDF" w:rsidRPr="000A3E55" w:rsidRDefault="00265FDF" w:rsidP="00265FDF">
            <w:pPr>
              <w:spacing w:after="0" w:line="240" w:lineRule="auto"/>
              <w:rPr>
                <w:rFonts w:ascii="Calibri" w:eastAsia="Times" w:hAnsi="Calibri" w:cs="Arial"/>
                <w:i/>
                <w:iCs/>
              </w:rPr>
            </w:pPr>
            <w:r>
              <w:rPr>
                <w:rFonts w:ascii="Calibri" w:hAnsi="Calibri"/>
                <w:bCs/>
              </w:rPr>
              <w:t xml:space="preserve">Address of the representative </w:t>
            </w:r>
          </w:p>
          <w:p w14:paraId="0838EE0D" w14:textId="77777777" w:rsidR="00265FDF" w:rsidRDefault="00265FDF" w:rsidP="00265FDF">
            <w:pPr>
              <w:spacing w:after="0" w:line="240" w:lineRule="auto"/>
              <w:rPr>
                <w:rFonts w:ascii="Calibri" w:hAnsi="Calibri"/>
                <w:bCs/>
              </w:rPr>
            </w:pPr>
          </w:p>
        </w:tc>
        <w:tc>
          <w:tcPr>
            <w:tcW w:w="144" w:type="dxa"/>
            <w:tcBorders>
              <w:top w:val="single" w:sz="4" w:space="0" w:color="auto"/>
              <w:left w:val="nil"/>
              <w:bottom w:val="single" w:sz="4" w:space="0" w:color="auto"/>
              <w:right w:val="nil"/>
            </w:tcBorders>
            <w:shd w:val="pct12" w:color="auto" w:fill="FFFFFF"/>
          </w:tcPr>
          <w:p w14:paraId="0B112E56" w14:textId="77777777" w:rsidR="00265FDF" w:rsidRPr="000A3E55" w:rsidRDefault="00265FDF" w:rsidP="00265FDF">
            <w:pPr>
              <w:spacing w:after="0" w:line="240" w:lineRule="auto"/>
              <w:rPr>
                <w:rFonts w:ascii="Calibri" w:eastAsia="Times New Roman" w:hAnsi="Calibri" w:cs="Arial"/>
                <w:sz w:val="20"/>
                <w:szCs w:val="20"/>
              </w:rPr>
            </w:pPr>
          </w:p>
        </w:tc>
        <w:tc>
          <w:tcPr>
            <w:tcW w:w="4819" w:type="dxa"/>
            <w:tcBorders>
              <w:top w:val="single" w:sz="4" w:space="0" w:color="auto"/>
              <w:left w:val="nil"/>
              <w:bottom w:val="single" w:sz="4" w:space="0" w:color="auto"/>
              <w:right w:val="nil"/>
            </w:tcBorders>
          </w:tcPr>
          <w:p w14:paraId="2D2B42E7" w14:textId="77777777" w:rsidR="00265FDF" w:rsidRPr="000A3E55" w:rsidRDefault="00265FDF" w:rsidP="00265FDF">
            <w:pPr>
              <w:spacing w:after="0" w:line="240" w:lineRule="auto"/>
              <w:rPr>
                <w:rFonts w:ascii="Calibri" w:eastAsia="Times New Roman" w:hAnsi="Calibri" w:cs="Arial"/>
                <w:sz w:val="20"/>
                <w:szCs w:val="20"/>
              </w:rPr>
            </w:pPr>
          </w:p>
        </w:tc>
      </w:tr>
      <w:tr w:rsidR="00265FDF" w:rsidRPr="000A3E55" w14:paraId="49F55263" w14:textId="77777777" w:rsidTr="00997128">
        <w:tc>
          <w:tcPr>
            <w:tcW w:w="4678" w:type="dxa"/>
            <w:tcBorders>
              <w:top w:val="single" w:sz="4" w:space="0" w:color="auto"/>
              <w:left w:val="nil"/>
              <w:bottom w:val="single" w:sz="4" w:space="0" w:color="auto"/>
              <w:right w:val="nil"/>
            </w:tcBorders>
            <w:shd w:val="pct5" w:color="auto" w:fill="FFFFFF"/>
          </w:tcPr>
          <w:p w14:paraId="2BB771AB" w14:textId="77777777" w:rsidR="00265FDF" w:rsidRDefault="00265FDF" w:rsidP="00265FDF">
            <w:pPr>
              <w:tabs>
                <w:tab w:val="left" w:pos="426"/>
              </w:tabs>
              <w:spacing w:after="0" w:line="240" w:lineRule="auto"/>
              <w:outlineLvl w:val="0"/>
              <w:rPr>
                <w:rFonts w:ascii="Calibri" w:hAnsi="Calibri"/>
                <w:bCs/>
              </w:rPr>
            </w:pPr>
            <w:r>
              <w:rPr>
                <w:rFonts w:ascii="Calibri" w:hAnsi="Calibri"/>
                <w:bCs/>
              </w:rPr>
              <w:t>Postal code and city of the representative</w:t>
            </w:r>
          </w:p>
          <w:p w14:paraId="379070C8" w14:textId="77777777" w:rsidR="00265FDF" w:rsidRDefault="00265FDF" w:rsidP="00265FDF">
            <w:pPr>
              <w:spacing w:after="0" w:line="240" w:lineRule="auto"/>
              <w:rPr>
                <w:rFonts w:ascii="Calibri" w:hAnsi="Calibri"/>
                <w:bCs/>
              </w:rPr>
            </w:pPr>
          </w:p>
        </w:tc>
        <w:tc>
          <w:tcPr>
            <w:tcW w:w="144" w:type="dxa"/>
            <w:tcBorders>
              <w:top w:val="single" w:sz="4" w:space="0" w:color="auto"/>
              <w:left w:val="nil"/>
              <w:bottom w:val="single" w:sz="4" w:space="0" w:color="auto"/>
              <w:right w:val="nil"/>
            </w:tcBorders>
            <w:shd w:val="pct12" w:color="auto" w:fill="FFFFFF"/>
          </w:tcPr>
          <w:p w14:paraId="3B438352" w14:textId="77777777" w:rsidR="00265FDF" w:rsidRPr="000A3E55" w:rsidRDefault="00265FDF" w:rsidP="00265FDF">
            <w:pPr>
              <w:spacing w:after="0" w:line="240" w:lineRule="auto"/>
              <w:rPr>
                <w:rFonts w:ascii="Calibri" w:eastAsia="Times New Roman" w:hAnsi="Calibri" w:cs="Arial"/>
                <w:sz w:val="20"/>
                <w:szCs w:val="20"/>
              </w:rPr>
            </w:pPr>
          </w:p>
        </w:tc>
        <w:tc>
          <w:tcPr>
            <w:tcW w:w="4819" w:type="dxa"/>
            <w:tcBorders>
              <w:top w:val="single" w:sz="4" w:space="0" w:color="auto"/>
              <w:left w:val="nil"/>
              <w:bottom w:val="single" w:sz="4" w:space="0" w:color="auto"/>
              <w:right w:val="nil"/>
            </w:tcBorders>
          </w:tcPr>
          <w:p w14:paraId="2811B263" w14:textId="77777777" w:rsidR="00265FDF" w:rsidRPr="000A3E55" w:rsidRDefault="00265FDF" w:rsidP="00265FDF">
            <w:pPr>
              <w:spacing w:after="0" w:line="240" w:lineRule="auto"/>
              <w:rPr>
                <w:rFonts w:ascii="Calibri" w:eastAsia="Times New Roman" w:hAnsi="Calibri" w:cs="Arial"/>
                <w:sz w:val="20"/>
                <w:szCs w:val="20"/>
              </w:rPr>
            </w:pPr>
          </w:p>
        </w:tc>
      </w:tr>
      <w:tr w:rsidR="00265FDF" w:rsidRPr="000A3E55" w14:paraId="5BEE60D9" w14:textId="77777777" w:rsidTr="00997128">
        <w:tc>
          <w:tcPr>
            <w:tcW w:w="4678" w:type="dxa"/>
            <w:tcBorders>
              <w:top w:val="single" w:sz="4" w:space="0" w:color="auto"/>
              <w:left w:val="nil"/>
              <w:bottom w:val="single" w:sz="4" w:space="0" w:color="auto"/>
              <w:right w:val="nil"/>
            </w:tcBorders>
            <w:shd w:val="pct5" w:color="auto" w:fill="FFFFFF"/>
          </w:tcPr>
          <w:p w14:paraId="6366724F" w14:textId="77777777" w:rsidR="00265FDF" w:rsidRPr="000A3E55" w:rsidRDefault="00265FDF" w:rsidP="00265FDF">
            <w:pPr>
              <w:tabs>
                <w:tab w:val="left" w:pos="426"/>
              </w:tabs>
              <w:spacing w:after="0" w:line="240" w:lineRule="auto"/>
              <w:outlineLvl w:val="0"/>
              <w:rPr>
                <w:rFonts w:ascii="Calibri" w:eastAsia="Times New Roman" w:hAnsi="Calibri" w:cs="Arial"/>
                <w:bCs/>
              </w:rPr>
            </w:pPr>
            <w:r w:rsidRPr="000A3E55">
              <w:rPr>
                <w:rFonts w:ascii="Calibri" w:hAnsi="Calibri"/>
                <w:bCs/>
              </w:rPr>
              <w:t>Registration number</w:t>
            </w:r>
            <w:r>
              <w:rPr>
                <w:rFonts w:ascii="Calibri" w:hAnsi="Calibri"/>
                <w:bCs/>
              </w:rPr>
              <w:t xml:space="preserve"> of the representative</w:t>
            </w:r>
            <w:r w:rsidRPr="000A3E55">
              <w:rPr>
                <w:rFonts w:ascii="Calibri" w:hAnsi="Calibri"/>
                <w:bCs/>
              </w:rPr>
              <w:t xml:space="preserve"> in trade register </w:t>
            </w:r>
          </w:p>
          <w:p w14:paraId="6C3C3270" w14:textId="77777777" w:rsidR="00265FDF" w:rsidRDefault="00265FDF" w:rsidP="00265FDF">
            <w:pPr>
              <w:spacing w:after="0" w:line="240" w:lineRule="auto"/>
              <w:rPr>
                <w:rFonts w:ascii="Calibri" w:hAnsi="Calibri"/>
                <w:bCs/>
              </w:rPr>
            </w:pPr>
          </w:p>
        </w:tc>
        <w:tc>
          <w:tcPr>
            <w:tcW w:w="144" w:type="dxa"/>
            <w:tcBorders>
              <w:top w:val="single" w:sz="4" w:space="0" w:color="auto"/>
              <w:left w:val="nil"/>
              <w:bottom w:val="single" w:sz="4" w:space="0" w:color="auto"/>
              <w:right w:val="nil"/>
            </w:tcBorders>
            <w:shd w:val="pct12" w:color="auto" w:fill="FFFFFF"/>
          </w:tcPr>
          <w:p w14:paraId="5C67E88C" w14:textId="77777777" w:rsidR="00265FDF" w:rsidRPr="000A3E55" w:rsidRDefault="00265FDF" w:rsidP="00265FDF">
            <w:pPr>
              <w:spacing w:after="0" w:line="240" w:lineRule="auto"/>
              <w:rPr>
                <w:rFonts w:ascii="Calibri" w:eastAsia="Times New Roman" w:hAnsi="Calibri" w:cs="Arial"/>
                <w:sz w:val="20"/>
                <w:szCs w:val="20"/>
              </w:rPr>
            </w:pPr>
          </w:p>
        </w:tc>
        <w:tc>
          <w:tcPr>
            <w:tcW w:w="4819" w:type="dxa"/>
            <w:tcBorders>
              <w:top w:val="single" w:sz="4" w:space="0" w:color="auto"/>
              <w:left w:val="nil"/>
              <w:bottom w:val="single" w:sz="4" w:space="0" w:color="auto"/>
              <w:right w:val="nil"/>
            </w:tcBorders>
          </w:tcPr>
          <w:p w14:paraId="1951386D" w14:textId="77777777" w:rsidR="00265FDF" w:rsidRPr="000A3E55" w:rsidRDefault="00265FDF" w:rsidP="00265FDF">
            <w:pPr>
              <w:spacing w:after="0" w:line="240" w:lineRule="auto"/>
              <w:rPr>
                <w:rFonts w:ascii="Calibri" w:eastAsia="Times New Roman" w:hAnsi="Calibri" w:cs="Arial"/>
                <w:sz w:val="20"/>
                <w:szCs w:val="20"/>
              </w:rPr>
            </w:pPr>
          </w:p>
        </w:tc>
      </w:tr>
      <w:tr w:rsidR="00265FDF" w:rsidRPr="000A3E55" w14:paraId="7D0D15E0" w14:textId="77777777" w:rsidTr="00997128">
        <w:tc>
          <w:tcPr>
            <w:tcW w:w="4678" w:type="dxa"/>
            <w:tcBorders>
              <w:top w:val="single" w:sz="4" w:space="0" w:color="auto"/>
              <w:left w:val="nil"/>
              <w:bottom w:val="single" w:sz="4" w:space="0" w:color="auto"/>
              <w:right w:val="nil"/>
            </w:tcBorders>
            <w:shd w:val="pct5" w:color="auto" w:fill="FFFFFF"/>
          </w:tcPr>
          <w:p w14:paraId="630647F6" w14:textId="77777777" w:rsidR="00265FDF" w:rsidRPr="000A3E55" w:rsidRDefault="00265FDF" w:rsidP="00265FDF">
            <w:pPr>
              <w:spacing w:after="0" w:line="240" w:lineRule="auto"/>
              <w:rPr>
                <w:rFonts w:ascii="Calibri" w:eastAsia="Times" w:hAnsi="Calibri" w:cs="Arial"/>
              </w:rPr>
            </w:pPr>
            <w:r>
              <w:rPr>
                <w:rFonts w:ascii="Calibri" w:hAnsi="Calibri"/>
                <w:bCs/>
              </w:rPr>
              <w:t>Telephone number of the representative</w:t>
            </w:r>
          </w:p>
          <w:p w14:paraId="03038E20" w14:textId="77777777" w:rsidR="00265FDF" w:rsidRDefault="00265FDF" w:rsidP="00265FDF">
            <w:pPr>
              <w:spacing w:after="0" w:line="240" w:lineRule="auto"/>
              <w:rPr>
                <w:rFonts w:ascii="Calibri" w:hAnsi="Calibri"/>
                <w:bCs/>
              </w:rPr>
            </w:pPr>
          </w:p>
        </w:tc>
        <w:tc>
          <w:tcPr>
            <w:tcW w:w="144" w:type="dxa"/>
            <w:tcBorders>
              <w:top w:val="single" w:sz="4" w:space="0" w:color="auto"/>
              <w:left w:val="nil"/>
              <w:bottom w:val="single" w:sz="4" w:space="0" w:color="auto"/>
              <w:right w:val="nil"/>
            </w:tcBorders>
            <w:shd w:val="pct12" w:color="auto" w:fill="FFFFFF"/>
          </w:tcPr>
          <w:p w14:paraId="3A70085D" w14:textId="77777777" w:rsidR="00265FDF" w:rsidRPr="000A3E55" w:rsidRDefault="00265FDF" w:rsidP="00265FDF">
            <w:pPr>
              <w:spacing w:after="0" w:line="240" w:lineRule="auto"/>
              <w:rPr>
                <w:rFonts w:ascii="Calibri" w:eastAsia="Times New Roman" w:hAnsi="Calibri" w:cs="Arial"/>
                <w:sz w:val="20"/>
                <w:szCs w:val="20"/>
              </w:rPr>
            </w:pPr>
          </w:p>
        </w:tc>
        <w:tc>
          <w:tcPr>
            <w:tcW w:w="4819" w:type="dxa"/>
            <w:tcBorders>
              <w:top w:val="single" w:sz="4" w:space="0" w:color="auto"/>
              <w:left w:val="nil"/>
              <w:bottom w:val="single" w:sz="4" w:space="0" w:color="auto"/>
              <w:right w:val="nil"/>
            </w:tcBorders>
          </w:tcPr>
          <w:p w14:paraId="76FDAE1A" w14:textId="77777777" w:rsidR="00265FDF" w:rsidRPr="000A3E55" w:rsidRDefault="00265FDF" w:rsidP="00265FDF">
            <w:pPr>
              <w:spacing w:after="0" w:line="240" w:lineRule="auto"/>
              <w:rPr>
                <w:rFonts w:ascii="Calibri" w:eastAsia="Times New Roman" w:hAnsi="Calibri" w:cs="Arial"/>
                <w:sz w:val="20"/>
                <w:szCs w:val="20"/>
              </w:rPr>
            </w:pPr>
          </w:p>
        </w:tc>
      </w:tr>
      <w:tr w:rsidR="00265FDF" w:rsidRPr="000A3E55" w14:paraId="6BB2BEDE" w14:textId="77777777" w:rsidTr="00997128">
        <w:tc>
          <w:tcPr>
            <w:tcW w:w="4678" w:type="dxa"/>
            <w:tcBorders>
              <w:top w:val="single" w:sz="4" w:space="0" w:color="auto"/>
              <w:left w:val="nil"/>
              <w:bottom w:val="single" w:sz="4" w:space="0" w:color="auto"/>
              <w:right w:val="nil"/>
            </w:tcBorders>
            <w:shd w:val="pct5" w:color="auto" w:fill="FFFFFF"/>
          </w:tcPr>
          <w:p w14:paraId="7A0D2B15" w14:textId="77777777" w:rsidR="00265FDF" w:rsidRDefault="002045B2" w:rsidP="002045B2">
            <w:pPr>
              <w:spacing w:after="0" w:line="240" w:lineRule="auto"/>
              <w:rPr>
                <w:rFonts w:ascii="Calibri" w:hAnsi="Calibri"/>
                <w:bCs/>
              </w:rPr>
            </w:pPr>
            <w:r>
              <w:rPr>
                <w:rFonts w:ascii="Calibri" w:hAnsi="Calibri"/>
                <w:bCs/>
              </w:rPr>
              <w:t>Contact date for the representative (email address and telephone number)</w:t>
            </w:r>
          </w:p>
          <w:p w14:paraId="663AB671" w14:textId="77777777" w:rsidR="002045B2" w:rsidRDefault="002045B2" w:rsidP="002045B2">
            <w:pPr>
              <w:spacing w:after="0" w:line="240" w:lineRule="auto"/>
              <w:rPr>
                <w:rFonts w:ascii="Calibri" w:hAnsi="Calibri"/>
                <w:bCs/>
              </w:rPr>
            </w:pPr>
          </w:p>
        </w:tc>
        <w:tc>
          <w:tcPr>
            <w:tcW w:w="144" w:type="dxa"/>
            <w:tcBorders>
              <w:top w:val="single" w:sz="4" w:space="0" w:color="auto"/>
              <w:left w:val="nil"/>
              <w:bottom w:val="single" w:sz="4" w:space="0" w:color="auto"/>
              <w:right w:val="nil"/>
            </w:tcBorders>
            <w:shd w:val="pct12" w:color="auto" w:fill="FFFFFF"/>
          </w:tcPr>
          <w:p w14:paraId="757609F4" w14:textId="77777777" w:rsidR="00265FDF" w:rsidRPr="000A3E55" w:rsidRDefault="00265FDF" w:rsidP="00265FDF">
            <w:pPr>
              <w:spacing w:after="0" w:line="240" w:lineRule="auto"/>
              <w:rPr>
                <w:rFonts w:ascii="Calibri" w:eastAsia="Times New Roman" w:hAnsi="Calibri" w:cs="Arial"/>
                <w:sz w:val="20"/>
                <w:szCs w:val="20"/>
              </w:rPr>
            </w:pPr>
          </w:p>
        </w:tc>
        <w:tc>
          <w:tcPr>
            <w:tcW w:w="4819" w:type="dxa"/>
            <w:tcBorders>
              <w:top w:val="single" w:sz="4" w:space="0" w:color="auto"/>
              <w:left w:val="nil"/>
              <w:bottom w:val="single" w:sz="4" w:space="0" w:color="auto"/>
              <w:right w:val="nil"/>
            </w:tcBorders>
          </w:tcPr>
          <w:p w14:paraId="4C68CDFA" w14:textId="77777777" w:rsidR="00265FDF" w:rsidRPr="000A3E55" w:rsidRDefault="00265FDF" w:rsidP="00265FDF">
            <w:pPr>
              <w:spacing w:after="0" w:line="240" w:lineRule="auto"/>
              <w:rPr>
                <w:rFonts w:ascii="Calibri" w:eastAsia="Times New Roman" w:hAnsi="Calibri" w:cs="Arial"/>
                <w:sz w:val="20"/>
                <w:szCs w:val="20"/>
              </w:rPr>
            </w:pPr>
          </w:p>
        </w:tc>
      </w:tr>
      <w:tr w:rsidR="009C424D" w:rsidRPr="009C424D" w14:paraId="3684A23F" w14:textId="77777777" w:rsidTr="00997128">
        <w:tc>
          <w:tcPr>
            <w:tcW w:w="4678" w:type="dxa"/>
            <w:tcBorders>
              <w:top w:val="single" w:sz="4" w:space="0" w:color="auto"/>
              <w:left w:val="nil"/>
              <w:bottom w:val="single" w:sz="4" w:space="0" w:color="auto"/>
              <w:right w:val="nil"/>
            </w:tcBorders>
            <w:shd w:val="pct5" w:color="auto" w:fill="FFFFFF"/>
          </w:tcPr>
          <w:p w14:paraId="43513CB0" w14:textId="77777777" w:rsidR="009C424D" w:rsidRPr="009C424D" w:rsidRDefault="009C424D" w:rsidP="009C424D">
            <w:pPr>
              <w:spacing w:after="0" w:line="240" w:lineRule="auto"/>
              <w:rPr>
                <w:rFonts w:ascii="Calibri" w:hAnsi="Calibri"/>
                <w:bCs/>
              </w:rPr>
            </w:pPr>
          </w:p>
          <w:p w14:paraId="1E921776" w14:textId="77777777" w:rsidR="009C424D" w:rsidRPr="009C424D" w:rsidRDefault="00470908" w:rsidP="009C424D">
            <w:pPr>
              <w:spacing w:after="0" w:line="240" w:lineRule="auto"/>
              <w:rPr>
                <w:rFonts w:ascii="Calibri" w:hAnsi="Calibri"/>
                <w:bCs/>
                <w:lang w:val="en-US"/>
              </w:rPr>
            </w:pPr>
            <w:r w:rsidRPr="00470908">
              <w:rPr>
                <w:rFonts w:ascii="Calibri" w:hAnsi="Calibri"/>
                <w:bCs/>
                <w:lang w:val="en-US"/>
              </w:rPr>
              <w:t xml:space="preserve">Copy of the mandate of the investment firm for the representative, which mandate covers the requirements in article 2:99 b subsection 1 </w:t>
            </w:r>
            <w:proofErr w:type="spellStart"/>
            <w:r w:rsidRPr="00470908">
              <w:rPr>
                <w:rFonts w:ascii="Calibri" w:hAnsi="Calibri"/>
                <w:bCs/>
                <w:lang w:val="en-US"/>
              </w:rPr>
              <w:t>Wft</w:t>
            </w:r>
            <w:proofErr w:type="spellEnd"/>
          </w:p>
          <w:p w14:paraId="659AD671" w14:textId="77777777" w:rsidR="009C424D" w:rsidRPr="009C424D" w:rsidRDefault="009C424D" w:rsidP="009C424D">
            <w:pPr>
              <w:spacing w:after="0" w:line="240" w:lineRule="auto"/>
              <w:rPr>
                <w:rFonts w:ascii="Calibri" w:hAnsi="Calibri"/>
                <w:bCs/>
                <w:lang w:val="en-US"/>
              </w:rPr>
            </w:pPr>
          </w:p>
        </w:tc>
        <w:tc>
          <w:tcPr>
            <w:tcW w:w="144" w:type="dxa"/>
            <w:tcBorders>
              <w:top w:val="single" w:sz="4" w:space="0" w:color="auto"/>
              <w:left w:val="nil"/>
              <w:bottom w:val="single" w:sz="4" w:space="0" w:color="auto"/>
              <w:right w:val="nil"/>
            </w:tcBorders>
            <w:shd w:val="pct12" w:color="auto" w:fill="FFFFFF"/>
          </w:tcPr>
          <w:p w14:paraId="00219F52" w14:textId="77777777" w:rsidR="009C424D" w:rsidRPr="009C424D" w:rsidRDefault="009C424D" w:rsidP="00265FDF">
            <w:pPr>
              <w:spacing w:after="0" w:line="240" w:lineRule="auto"/>
              <w:rPr>
                <w:rFonts w:ascii="Calibri" w:eastAsia="Times New Roman" w:hAnsi="Calibri" w:cs="Arial"/>
                <w:sz w:val="20"/>
                <w:szCs w:val="20"/>
                <w:lang w:val="en-US"/>
              </w:rPr>
            </w:pPr>
          </w:p>
        </w:tc>
        <w:tc>
          <w:tcPr>
            <w:tcW w:w="4819" w:type="dxa"/>
            <w:tcBorders>
              <w:top w:val="single" w:sz="4" w:space="0" w:color="auto"/>
              <w:left w:val="nil"/>
              <w:bottom w:val="single" w:sz="4" w:space="0" w:color="auto"/>
              <w:right w:val="nil"/>
            </w:tcBorders>
          </w:tcPr>
          <w:p w14:paraId="24E9C057" w14:textId="77777777" w:rsidR="009C424D" w:rsidRPr="009C424D" w:rsidRDefault="009C424D" w:rsidP="00265FDF">
            <w:pPr>
              <w:spacing w:after="0" w:line="240" w:lineRule="auto"/>
              <w:rPr>
                <w:rFonts w:ascii="Calibri" w:eastAsia="Times New Roman" w:hAnsi="Calibri" w:cs="Arial"/>
                <w:sz w:val="20"/>
                <w:szCs w:val="20"/>
                <w:lang w:val="en-US"/>
              </w:rPr>
            </w:pPr>
          </w:p>
        </w:tc>
      </w:tr>
    </w:tbl>
    <w:p w14:paraId="19512E8B" w14:textId="77777777" w:rsidR="009C424D" w:rsidRDefault="009C424D" w:rsidP="00DB41CD">
      <w:pPr>
        <w:tabs>
          <w:tab w:val="left" w:pos="284"/>
        </w:tabs>
        <w:spacing w:after="0" w:line="240" w:lineRule="auto"/>
        <w:outlineLvl w:val="0"/>
        <w:rPr>
          <w:rFonts w:ascii="Calibri" w:hAnsi="Calibri"/>
        </w:rPr>
      </w:pPr>
    </w:p>
    <w:p w14:paraId="5A73544D" w14:textId="77777777" w:rsidR="009C424D" w:rsidRDefault="009C424D">
      <w:pPr>
        <w:rPr>
          <w:rFonts w:ascii="Calibri" w:hAnsi="Calibri"/>
        </w:rPr>
      </w:pPr>
      <w:r>
        <w:rPr>
          <w:rFonts w:ascii="Calibri" w:hAnsi="Calibri"/>
        </w:rPr>
        <w:br w:type="page"/>
      </w:r>
    </w:p>
    <w:p w14:paraId="1575E498" w14:textId="77777777" w:rsidR="00124DD2" w:rsidRPr="000A3E55" w:rsidRDefault="00124DD2" w:rsidP="00DB41CD">
      <w:pPr>
        <w:tabs>
          <w:tab w:val="left" w:pos="284"/>
        </w:tabs>
        <w:spacing w:after="0" w:line="240" w:lineRule="auto"/>
        <w:outlineLvl w:val="0"/>
        <w:rPr>
          <w:rFonts w:ascii="Calibri" w:hAnsi="Calibri"/>
        </w:rPr>
      </w:pPr>
      <w:r w:rsidRPr="000A3E55">
        <w:rPr>
          <w:rFonts w:ascii="Calibri" w:hAnsi="Calibri"/>
        </w:rPr>
        <w:lastRenderedPageBreak/>
        <w:t>Please tick the appropriate boxes in the matrix below</w:t>
      </w:r>
      <w:r w:rsidRPr="000A3E55">
        <w:rPr>
          <w:rFonts w:ascii="Calibri" w:hAnsi="Calibri"/>
          <w:b/>
        </w:rPr>
        <w:t xml:space="preserve"> </w:t>
      </w:r>
      <w:r w:rsidRPr="000A3E55">
        <w:rPr>
          <w:rFonts w:ascii="Calibri" w:hAnsi="Calibri"/>
        </w:rPr>
        <w:t>to indicate which investment services</w:t>
      </w:r>
      <w:r w:rsidR="00470908">
        <w:rPr>
          <w:rFonts w:ascii="Calibri" w:hAnsi="Calibri"/>
        </w:rPr>
        <w:t xml:space="preserve">, </w:t>
      </w:r>
      <w:r w:rsidR="009C0F08">
        <w:rPr>
          <w:rFonts w:ascii="Calibri" w:hAnsi="Calibri"/>
        </w:rPr>
        <w:t>ancillary</w:t>
      </w:r>
      <w:r w:rsidRPr="000A3E55">
        <w:rPr>
          <w:rFonts w:ascii="Calibri" w:hAnsi="Calibri"/>
        </w:rPr>
        <w:t xml:space="preserve"> services and financial</w:t>
      </w:r>
      <w:r w:rsidR="003E2740">
        <w:rPr>
          <w:rFonts w:ascii="Calibri" w:hAnsi="Calibri"/>
        </w:rPr>
        <w:t xml:space="preserve"> instruments to which the licens</w:t>
      </w:r>
      <w:r w:rsidRPr="000A3E55">
        <w:rPr>
          <w:rFonts w:ascii="Calibri" w:hAnsi="Calibri"/>
        </w:rPr>
        <w:t>e application relates.</w:t>
      </w:r>
    </w:p>
    <w:p w14:paraId="66CF4DCB" w14:textId="77777777" w:rsidR="00997128" w:rsidRDefault="00997128">
      <w:pPr>
        <w:rPr>
          <w:b/>
        </w:rPr>
      </w:pPr>
    </w:p>
    <w:p w14:paraId="39E855E3" w14:textId="77777777" w:rsidR="00E37E98" w:rsidRPr="000A3E55" w:rsidRDefault="00E37E98">
      <w:pPr>
        <w:rPr>
          <w:b/>
        </w:rPr>
      </w:pPr>
      <w:r w:rsidRPr="000A3E55">
        <w:rPr>
          <w:b/>
        </w:rPr>
        <w:t>Investment services and activities</w:t>
      </w:r>
      <w:r w:rsidR="00684345" w:rsidRPr="000A3E55">
        <w:rPr>
          <w:rStyle w:val="FootnoteReference"/>
          <w:b/>
        </w:rPr>
        <w:footnoteReference w:id="4"/>
      </w:r>
    </w:p>
    <w:tbl>
      <w:tblPr>
        <w:tblStyle w:val="TableGrid"/>
        <w:tblW w:w="0" w:type="auto"/>
        <w:tblInd w:w="-147" w:type="dxa"/>
        <w:tblLook w:val="04A0" w:firstRow="1" w:lastRow="0" w:firstColumn="1" w:lastColumn="0" w:noHBand="0" w:noVBand="1"/>
      </w:tblPr>
      <w:tblGrid>
        <w:gridCol w:w="2166"/>
        <w:gridCol w:w="776"/>
        <w:gridCol w:w="776"/>
        <w:gridCol w:w="776"/>
        <w:gridCol w:w="776"/>
        <w:gridCol w:w="776"/>
        <w:gridCol w:w="786"/>
      </w:tblGrid>
      <w:tr w:rsidR="0078423B" w:rsidRPr="000A3E55" w14:paraId="52E9DBE2" w14:textId="77777777" w:rsidTr="00470908">
        <w:trPr>
          <w:cantSplit/>
          <w:trHeight w:val="1701"/>
        </w:trPr>
        <w:tc>
          <w:tcPr>
            <w:tcW w:w="2166" w:type="dxa"/>
          </w:tcPr>
          <w:p w14:paraId="2133C9F2" w14:textId="77777777" w:rsidR="0078423B" w:rsidRPr="000A3E55" w:rsidRDefault="0078423B">
            <w:pPr>
              <w:rPr>
                <w:b/>
              </w:rPr>
            </w:pPr>
          </w:p>
        </w:tc>
        <w:tc>
          <w:tcPr>
            <w:tcW w:w="776" w:type="dxa"/>
            <w:textDirection w:val="btLr"/>
          </w:tcPr>
          <w:p w14:paraId="5AD712A4" w14:textId="77777777" w:rsidR="0078423B" w:rsidRPr="000A3E55" w:rsidRDefault="0078423B" w:rsidP="00363C71">
            <w:pPr>
              <w:ind w:left="113" w:right="113"/>
              <w:rPr>
                <w:b/>
                <w:sz w:val="18"/>
                <w:szCs w:val="18"/>
              </w:rPr>
            </w:pPr>
            <w:r w:rsidRPr="000A3E55">
              <w:rPr>
                <w:b/>
                <w:sz w:val="18"/>
                <w:szCs w:val="18"/>
              </w:rPr>
              <w:t xml:space="preserve">Receipt and </w:t>
            </w:r>
            <w:r>
              <w:rPr>
                <w:b/>
                <w:sz w:val="18"/>
                <w:szCs w:val="18"/>
              </w:rPr>
              <w:t xml:space="preserve">transmission of orders for </w:t>
            </w:r>
            <w:r w:rsidRPr="000A3E55">
              <w:rPr>
                <w:b/>
                <w:sz w:val="18"/>
                <w:szCs w:val="18"/>
              </w:rPr>
              <w:t>clients</w:t>
            </w:r>
          </w:p>
        </w:tc>
        <w:tc>
          <w:tcPr>
            <w:tcW w:w="776" w:type="dxa"/>
            <w:textDirection w:val="btLr"/>
          </w:tcPr>
          <w:p w14:paraId="07F31398" w14:textId="77777777" w:rsidR="0078423B" w:rsidRPr="000A3E55" w:rsidRDefault="0078423B" w:rsidP="009208D2">
            <w:pPr>
              <w:ind w:left="113" w:right="113"/>
              <w:rPr>
                <w:b/>
                <w:sz w:val="18"/>
                <w:szCs w:val="18"/>
              </w:rPr>
            </w:pPr>
            <w:r w:rsidRPr="000A3E55">
              <w:rPr>
                <w:b/>
                <w:sz w:val="18"/>
                <w:szCs w:val="18"/>
              </w:rPr>
              <w:t>Execution of orders for clients</w:t>
            </w:r>
          </w:p>
        </w:tc>
        <w:tc>
          <w:tcPr>
            <w:tcW w:w="776" w:type="dxa"/>
            <w:textDirection w:val="btLr"/>
          </w:tcPr>
          <w:p w14:paraId="134364EB" w14:textId="77777777" w:rsidR="0078423B" w:rsidRPr="000A3E55" w:rsidRDefault="0078423B" w:rsidP="009208D2">
            <w:pPr>
              <w:ind w:left="113" w:right="113"/>
              <w:rPr>
                <w:b/>
                <w:sz w:val="18"/>
                <w:szCs w:val="18"/>
              </w:rPr>
            </w:pPr>
            <w:r>
              <w:rPr>
                <w:b/>
                <w:sz w:val="18"/>
                <w:szCs w:val="18"/>
              </w:rPr>
              <w:t xml:space="preserve">Portfolio </w:t>
            </w:r>
            <w:r w:rsidRPr="000A3E55">
              <w:rPr>
                <w:b/>
                <w:sz w:val="18"/>
                <w:szCs w:val="18"/>
              </w:rPr>
              <w:t xml:space="preserve"> management</w:t>
            </w:r>
          </w:p>
        </w:tc>
        <w:tc>
          <w:tcPr>
            <w:tcW w:w="776" w:type="dxa"/>
            <w:textDirection w:val="btLr"/>
          </w:tcPr>
          <w:p w14:paraId="1B8355C7" w14:textId="77777777" w:rsidR="0078423B" w:rsidRPr="000A3E55" w:rsidRDefault="0078423B" w:rsidP="009208D2">
            <w:pPr>
              <w:ind w:left="113" w:right="113"/>
              <w:rPr>
                <w:b/>
                <w:sz w:val="18"/>
                <w:szCs w:val="18"/>
              </w:rPr>
            </w:pPr>
            <w:r w:rsidRPr="000A3E55">
              <w:rPr>
                <w:b/>
                <w:sz w:val="18"/>
                <w:szCs w:val="18"/>
              </w:rPr>
              <w:t>Investment advice</w:t>
            </w:r>
          </w:p>
        </w:tc>
        <w:tc>
          <w:tcPr>
            <w:tcW w:w="776" w:type="dxa"/>
            <w:textDirection w:val="btLr"/>
          </w:tcPr>
          <w:p w14:paraId="187E74EF" w14:textId="77777777" w:rsidR="0078423B" w:rsidRPr="000A3E55" w:rsidRDefault="0078423B" w:rsidP="00363C71">
            <w:pPr>
              <w:ind w:left="113" w:right="113"/>
              <w:rPr>
                <w:b/>
                <w:sz w:val="18"/>
                <w:szCs w:val="18"/>
              </w:rPr>
            </w:pPr>
            <w:r>
              <w:rPr>
                <w:b/>
                <w:sz w:val="18"/>
                <w:szCs w:val="18"/>
              </w:rPr>
              <w:t>Underwriting and/or placement guarantee</w:t>
            </w:r>
          </w:p>
        </w:tc>
        <w:tc>
          <w:tcPr>
            <w:tcW w:w="786" w:type="dxa"/>
            <w:textDirection w:val="btLr"/>
          </w:tcPr>
          <w:p w14:paraId="4658ACCC" w14:textId="77777777" w:rsidR="0078423B" w:rsidRPr="000A3E55" w:rsidRDefault="0078423B" w:rsidP="009208D2">
            <w:pPr>
              <w:ind w:left="113" w:right="113"/>
              <w:rPr>
                <w:b/>
                <w:sz w:val="18"/>
                <w:szCs w:val="18"/>
              </w:rPr>
            </w:pPr>
            <w:r w:rsidRPr="000A3E55">
              <w:rPr>
                <w:b/>
                <w:sz w:val="18"/>
                <w:szCs w:val="18"/>
              </w:rPr>
              <w:t>P</w:t>
            </w:r>
            <w:r>
              <w:rPr>
                <w:b/>
                <w:sz w:val="18"/>
                <w:szCs w:val="18"/>
              </w:rPr>
              <w:t xml:space="preserve">lacement without </w:t>
            </w:r>
            <w:r w:rsidRPr="000A3E55">
              <w:rPr>
                <w:b/>
                <w:sz w:val="18"/>
                <w:szCs w:val="18"/>
              </w:rPr>
              <w:t>guarantee</w:t>
            </w:r>
          </w:p>
        </w:tc>
      </w:tr>
      <w:tr w:rsidR="0078423B" w:rsidRPr="000A3E55" w14:paraId="305B9F19" w14:textId="77777777" w:rsidTr="00470908">
        <w:trPr>
          <w:trHeight w:val="704"/>
        </w:trPr>
        <w:tc>
          <w:tcPr>
            <w:tcW w:w="2166" w:type="dxa"/>
          </w:tcPr>
          <w:p w14:paraId="70A55BC5" w14:textId="77777777" w:rsidR="0078423B" w:rsidRPr="000A3E55" w:rsidRDefault="0078423B" w:rsidP="00AC0177">
            <w:pPr>
              <w:rPr>
                <w:b/>
                <w:sz w:val="18"/>
                <w:szCs w:val="18"/>
              </w:rPr>
            </w:pPr>
            <w:r>
              <w:rPr>
                <w:b/>
                <w:sz w:val="18"/>
                <w:szCs w:val="18"/>
              </w:rPr>
              <w:t>1. Transferable securities</w:t>
            </w:r>
          </w:p>
        </w:tc>
        <w:tc>
          <w:tcPr>
            <w:tcW w:w="776" w:type="dxa"/>
          </w:tcPr>
          <w:p w14:paraId="12BE7946" w14:textId="77777777" w:rsidR="0078423B" w:rsidRPr="000A3E55" w:rsidRDefault="0078423B">
            <w:pPr>
              <w:rPr>
                <w:b/>
                <w:sz w:val="28"/>
                <w:szCs w:val="28"/>
              </w:rPr>
            </w:pPr>
          </w:p>
        </w:tc>
        <w:tc>
          <w:tcPr>
            <w:tcW w:w="776" w:type="dxa"/>
          </w:tcPr>
          <w:p w14:paraId="303F2AB4" w14:textId="77777777" w:rsidR="0078423B" w:rsidRPr="000A3E55" w:rsidRDefault="0078423B">
            <w:pPr>
              <w:rPr>
                <w:b/>
              </w:rPr>
            </w:pPr>
          </w:p>
        </w:tc>
        <w:tc>
          <w:tcPr>
            <w:tcW w:w="776" w:type="dxa"/>
          </w:tcPr>
          <w:p w14:paraId="0255FEAE" w14:textId="77777777" w:rsidR="0078423B" w:rsidRPr="000A3E55" w:rsidRDefault="0078423B">
            <w:pPr>
              <w:rPr>
                <w:b/>
              </w:rPr>
            </w:pPr>
          </w:p>
        </w:tc>
        <w:tc>
          <w:tcPr>
            <w:tcW w:w="776" w:type="dxa"/>
          </w:tcPr>
          <w:p w14:paraId="38181109" w14:textId="77777777" w:rsidR="0078423B" w:rsidRPr="000A3E55" w:rsidRDefault="0078423B">
            <w:pPr>
              <w:rPr>
                <w:b/>
              </w:rPr>
            </w:pPr>
          </w:p>
        </w:tc>
        <w:tc>
          <w:tcPr>
            <w:tcW w:w="776" w:type="dxa"/>
          </w:tcPr>
          <w:p w14:paraId="0E52461D" w14:textId="77777777" w:rsidR="0078423B" w:rsidRPr="000A3E55" w:rsidRDefault="0078423B">
            <w:pPr>
              <w:rPr>
                <w:b/>
              </w:rPr>
            </w:pPr>
          </w:p>
        </w:tc>
        <w:tc>
          <w:tcPr>
            <w:tcW w:w="786" w:type="dxa"/>
          </w:tcPr>
          <w:p w14:paraId="055887BA" w14:textId="77777777" w:rsidR="0078423B" w:rsidRPr="000A3E55" w:rsidRDefault="0078423B">
            <w:pPr>
              <w:rPr>
                <w:b/>
              </w:rPr>
            </w:pPr>
          </w:p>
        </w:tc>
      </w:tr>
      <w:tr w:rsidR="0078423B" w:rsidRPr="000A3E55" w14:paraId="6043DB24" w14:textId="77777777" w:rsidTr="00470908">
        <w:trPr>
          <w:trHeight w:val="554"/>
        </w:trPr>
        <w:tc>
          <w:tcPr>
            <w:tcW w:w="2166" w:type="dxa"/>
          </w:tcPr>
          <w:p w14:paraId="45F34238" w14:textId="77777777" w:rsidR="0078423B" w:rsidRPr="000A3E55" w:rsidRDefault="0078423B">
            <w:pPr>
              <w:rPr>
                <w:b/>
                <w:sz w:val="18"/>
                <w:szCs w:val="18"/>
              </w:rPr>
            </w:pPr>
            <w:r>
              <w:rPr>
                <w:b/>
                <w:sz w:val="18"/>
                <w:szCs w:val="18"/>
              </w:rPr>
              <w:t>2. Money-</w:t>
            </w:r>
            <w:r w:rsidRPr="000A3E55">
              <w:rPr>
                <w:b/>
                <w:sz w:val="18"/>
                <w:szCs w:val="18"/>
              </w:rPr>
              <w:t>market instruments</w:t>
            </w:r>
          </w:p>
        </w:tc>
        <w:tc>
          <w:tcPr>
            <w:tcW w:w="776" w:type="dxa"/>
          </w:tcPr>
          <w:p w14:paraId="20404AC4" w14:textId="77777777" w:rsidR="0078423B" w:rsidRPr="000A3E55" w:rsidRDefault="0078423B">
            <w:pPr>
              <w:rPr>
                <w:b/>
              </w:rPr>
            </w:pPr>
          </w:p>
        </w:tc>
        <w:tc>
          <w:tcPr>
            <w:tcW w:w="776" w:type="dxa"/>
          </w:tcPr>
          <w:p w14:paraId="5D8114AC" w14:textId="77777777" w:rsidR="0078423B" w:rsidRPr="000A3E55" w:rsidRDefault="0078423B">
            <w:pPr>
              <w:rPr>
                <w:b/>
              </w:rPr>
            </w:pPr>
          </w:p>
        </w:tc>
        <w:tc>
          <w:tcPr>
            <w:tcW w:w="776" w:type="dxa"/>
          </w:tcPr>
          <w:p w14:paraId="3C02F1A9" w14:textId="77777777" w:rsidR="0078423B" w:rsidRPr="000A3E55" w:rsidRDefault="0078423B">
            <w:pPr>
              <w:rPr>
                <w:b/>
              </w:rPr>
            </w:pPr>
          </w:p>
        </w:tc>
        <w:tc>
          <w:tcPr>
            <w:tcW w:w="776" w:type="dxa"/>
          </w:tcPr>
          <w:p w14:paraId="57FDBECE" w14:textId="77777777" w:rsidR="0078423B" w:rsidRPr="000A3E55" w:rsidRDefault="0078423B">
            <w:pPr>
              <w:rPr>
                <w:b/>
              </w:rPr>
            </w:pPr>
          </w:p>
        </w:tc>
        <w:tc>
          <w:tcPr>
            <w:tcW w:w="776" w:type="dxa"/>
          </w:tcPr>
          <w:p w14:paraId="3C8DB995" w14:textId="77777777" w:rsidR="0078423B" w:rsidRPr="000A3E55" w:rsidRDefault="0078423B">
            <w:pPr>
              <w:rPr>
                <w:b/>
              </w:rPr>
            </w:pPr>
          </w:p>
        </w:tc>
        <w:tc>
          <w:tcPr>
            <w:tcW w:w="786" w:type="dxa"/>
          </w:tcPr>
          <w:p w14:paraId="24154D51" w14:textId="77777777" w:rsidR="0078423B" w:rsidRPr="000A3E55" w:rsidRDefault="0078423B">
            <w:pPr>
              <w:rPr>
                <w:b/>
              </w:rPr>
            </w:pPr>
          </w:p>
        </w:tc>
      </w:tr>
      <w:tr w:rsidR="0078423B" w:rsidRPr="000A3E55" w14:paraId="36D91260" w14:textId="77777777" w:rsidTr="00470908">
        <w:trPr>
          <w:trHeight w:val="693"/>
        </w:trPr>
        <w:tc>
          <w:tcPr>
            <w:tcW w:w="2166" w:type="dxa"/>
          </w:tcPr>
          <w:p w14:paraId="263ACF31" w14:textId="77777777" w:rsidR="0078423B" w:rsidRPr="000A3E55" w:rsidRDefault="0078423B" w:rsidP="00CC4047">
            <w:pPr>
              <w:rPr>
                <w:b/>
                <w:sz w:val="18"/>
                <w:szCs w:val="18"/>
              </w:rPr>
            </w:pPr>
            <w:r w:rsidRPr="000A3E55">
              <w:rPr>
                <w:b/>
                <w:sz w:val="18"/>
                <w:szCs w:val="18"/>
              </w:rPr>
              <w:t xml:space="preserve">3. Units of </w:t>
            </w:r>
            <w:r>
              <w:rPr>
                <w:b/>
                <w:sz w:val="18"/>
                <w:szCs w:val="18"/>
              </w:rPr>
              <w:t>collective investment undertakings</w:t>
            </w:r>
          </w:p>
        </w:tc>
        <w:tc>
          <w:tcPr>
            <w:tcW w:w="776" w:type="dxa"/>
          </w:tcPr>
          <w:p w14:paraId="392B5FD8" w14:textId="77777777" w:rsidR="0078423B" w:rsidRPr="000A3E55" w:rsidRDefault="0078423B">
            <w:pPr>
              <w:rPr>
                <w:b/>
              </w:rPr>
            </w:pPr>
          </w:p>
        </w:tc>
        <w:tc>
          <w:tcPr>
            <w:tcW w:w="776" w:type="dxa"/>
          </w:tcPr>
          <w:p w14:paraId="5008C187" w14:textId="77777777" w:rsidR="0078423B" w:rsidRPr="000A3E55" w:rsidRDefault="0078423B">
            <w:pPr>
              <w:rPr>
                <w:b/>
              </w:rPr>
            </w:pPr>
          </w:p>
        </w:tc>
        <w:tc>
          <w:tcPr>
            <w:tcW w:w="776" w:type="dxa"/>
          </w:tcPr>
          <w:p w14:paraId="7AF52CA2" w14:textId="77777777" w:rsidR="0078423B" w:rsidRPr="000A3E55" w:rsidRDefault="0078423B">
            <w:pPr>
              <w:rPr>
                <w:b/>
              </w:rPr>
            </w:pPr>
          </w:p>
        </w:tc>
        <w:tc>
          <w:tcPr>
            <w:tcW w:w="776" w:type="dxa"/>
          </w:tcPr>
          <w:p w14:paraId="2ABE45D4" w14:textId="77777777" w:rsidR="0078423B" w:rsidRPr="000A3E55" w:rsidRDefault="0078423B">
            <w:pPr>
              <w:rPr>
                <w:b/>
              </w:rPr>
            </w:pPr>
          </w:p>
        </w:tc>
        <w:tc>
          <w:tcPr>
            <w:tcW w:w="776" w:type="dxa"/>
          </w:tcPr>
          <w:p w14:paraId="60899CF9" w14:textId="77777777" w:rsidR="0078423B" w:rsidRPr="000A3E55" w:rsidRDefault="0078423B">
            <w:pPr>
              <w:rPr>
                <w:b/>
              </w:rPr>
            </w:pPr>
          </w:p>
        </w:tc>
        <w:tc>
          <w:tcPr>
            <w:tcW w:w="786" w:type="dxa"/>
          </w:tcPr>
          <w:p w14:paraId="1A57D6D3" w14:textId="77777777" w:rsidR="0078423B" w:rsidRPr="000A3E55" w:rsidRDefault="0078423B">
            <w:pPr>
              <w:rPr>
                <w:b/>
              </w:rPr>
            </w:pPr>
          </w:p>
        </w:tc>
      </w:tr>
      <w:tr w:rsidR="0078423B" w:rsidRPr="000A3E55" w14:paraId="0785AF44" w14:textId="77777777" w:rsidTr="00470908">
        <w:tc>
          <w:tcPr>
            <w:tcW w:w="2166" w:type="dxa"/>
          </w:tcPr>
          <w:p w14:paraId="40A2CFC8" w14:textId="77777777" w:rsidR="0078423B" w:rsidRPr="000A3E55" w:rsidRDefault="0078423B">
            <w:pPr>
              <w:rPr>
                <w:b/>
                <w:sz w:val="18"/>
                <w:szCs w:val="18"/>
              </w:rPr>
            </w:pPr>
            <w:r w:rsidRPr="000A3E55">
              <w:rPr>
                <w:b/>
                <w:sz w:val="18"/>
                <w:szCs w:val="18"/>
              </w:rPr>
              <w:t>4. Derivatives (other than commodities) with physical</w:t>
            </w:r>
            <w:r>
              <w:rPr>
                <w:b/>
                <w:sz w:val="18"/>
                <w:szCs w:val="18"/>
              </w:rPr>
              <w:t xml:space="preserve"> or cash</w:t>
            </w:r>
            <w:r w:rsidRPr="000A3E55">
              <w:rPr>
                <w:b/>
                <w:sz w:val="18"/>
                <w:szCs w:val="18"/>
              </w:rPr>
              <w:t xml:space="preserve"> delivery</w:t>
            </w:r>
          </w:p>
        </w:tc>
        <w:tc>
          <w:tcPr>
            <w:tcW w:w="776" w:type="dxa"/>
          </w:tcPr>
          <w:p w14:paraId="4109FC81" w14:textId="77777777" w:rsidR="0078423B" w:rsidRPr="000A3E55" w:rsidRDefault="0078423B">
            <w:pPr>
              <w:rPr>
                <w:b/>
              </w:rPr>
            </w:pPr>
          </w:p>
        </w:tc>
        <w:tc>
          <w:tcPr>
            <w:tcW w:w="776" w:type="dxa"/>
          </w:tcPr>
          <w:p w14:paraId="3728BA54" w14:textId="77777777" w:rsidR="0078423B" w:rsidRPr="000A3E55" w:rsidRDefault="0078423B">
            <w:pPr>
              <w:rPr>
                <w:b/>
              </w:rPr>
            </w:pPr>
          </w:p>
        </w:tc>
        <w:tc>
          <w:tcPr>
            <w:tcW w:w="776" w:type="dxa"/>
          </w:tcPr>
          <w:p w14:paraId="3080FDB6" w14:textId="77777777" w:rsidR="0078423B" w:rsidRPr="000A3E55" w:rsidRDefault="0078423B">
            <w:pPr>
              <w:rPr>
                <w:b/>
              </w:rPr>
            </w:pPr>
          </w:p>
        </w:tc>
        <w:tc>
          <w:tcPr>
            <w:tcW w:w="776" w:type="dxa"/>
          </w:tcPr>
          <w:p w14:paraId="5F91F6BF" w14:textId="77777777" w:rsidR="0078423B" w:rsidRPr="000A3E55" w:rsidRDefault="0078423B">
            <w:pPr>
              <w:rPr>
                <w:b/>
              </w:rPr>
            </w:pPr>
          </w:p>
        </w:tc>
        <w:tc>
          <w:tcPr>
            <w:tcW w:w="776" w:type="dxa"/>
          </w:tcPr>
          <w:p w14:paraId="7DB3F019" w14:textId="77777777" w:rsidR="0078423B" w:rsidRPr="000A3E55" w:rsidRDefault="0078423B">
            <w:pPr>
              <w:rPr>
                <w:b/>
              </w:rPr>
            </w:pPr>
          </w:p>
        </w:tc>
        <w:tc>
          <w:tcPr>
            <w:tcW w:w="786" w:type="dxa"/>
          </w:tcPr>
          <w:p w14:paraId="7B0EF2CD" w14:textId="77777777" w:rsidR="0078423B" w:rsidRPr="000A3E55" w:rsidRDefault="0078423B">
            <w:pPr>
              <w:rPr>
                <w:b/>
              </w:rPr>
            </w:pPr>
          </w:p>
        </w:tc>
      </w:tr>
      <w:tr w:rsidR="0078423B" w:rsidRPr="000A3E55" w14:paraId="338945ED" w14:textId="77777777" w:rsidTr="00470908">
        <w:trPr>
          <w:trHeight w:val="741"/>
        </w:trPr>
        <w:tc>
          <w:tcPr>
            <w:tcW w:w="2166" w:type="dxa"/>
          </w:tcPr>
          <w:p w14:paraId="2EA182DE" w14:textId="77777777" w:rsidR="0078423B" w:rsidRPr="000A3E55" w:rsidRDefault="0078423B">
            <w:pPr>
              <w:rPr>
                <w:b/>
                <w:sz w:val="18"/>
                <w:szCs w:val="18"/>
              </w:rPr>
            </w:pPr>
            <w:r w:rsidRPr="000A3E55">
              <w:rPr>
                <w:b/>
                <w:sz w:val="18"/>
                <w:szCs w:val="18"/>
              </w:rPr>
              <w:t>5. Commodity derivatives with cash settlement</w:t>
            </w:r>
          </w:p>
        </w:tc>
        <w:tc>
          <w:tcPr>
            <w:tcW w:w="776" w:type="dxa"/>
          </w:tcPr>
          <w:p w14:paraId="05265D36" w14:textId="77777777" w:rsidR="0078423B" w:rsidRPr="000A3E55" w:rsidRDefault="0078423B">
            <w:pPr>
              <w:rPr>
                <w:b/>
              </w:rPr>
            </w:pPr>
          </w:p>
        </w:tc>
        <w:tc>
          <w:tcPr>
            <w:tcW w:w="776" w:type="dxa"/>
          </w:tcPr>
          <w:p w14:paraId="2BD29CF0" w14:textId="77777777" w:rsidR="0078423B" w:rsidRPr="000A3E55" w:rsidRDefault="0078423B">
            <w:pPr>
              <w:rPr>
                <w:b/>
              </w:rPr>
            </w:pPr>
          </w:p>
        </w:tc>
        <w:tc>
          <w:tcPr>
            <w:tcW w:w="776" w:type="dxa"/>
          </w:tcPr>
          <w:p w14:paraId="49DB5F21" w14:textId="77777777" w:rsidR="0078423B" w:rsidRPr="000A3E55" w:rsidRDefault="0078423B">
            <w:pPr>
              <w:rPr>
                <w:b/>
              </w:rPr>
            </w:pPr>
          </w:p>
        </w:tc>
        <w:tc>
          <w:tcPr>
            <w:tcW w:w="776" w:type="dxa"/>
          </w:tcPr>
          <w:p w14:paraId="7FDD5AD0" w14:textId="77777777" w:rsidR="0078423B" w:rsidRPr="000A3E55" w:rsidRDefault="0078423B">
            <w:pPr>
              <w:rPr>
                <w:b/>
              </w:rPr>
            </w:pPr>
          </w:p>
        </w:tc>
        <w:tc>
          <w:tcPr>
            <w:tcW w:w="776" w:type="dxa"/>
          </w:tcPr>
          <w:p w14:paraId="69F1D7FE" w14:textId="77777777" w:rsidR="0078423B" w:rsidRPr="000A3E55" w:rsidRDefault="0078423B">
            <w:pPr>
              <w:rPr>
                <w:b/>
              </w:rPr>
            </w:pPr>
          </w:p>
        </w:tc>
        <w:tc>
          <w:tcPr>
            <w:tcW w:w="786" w:type="dxa"/>
          </w:tcPr>
          <w:p w14:paraId="7DF823FB" w14:textId="77777777" w:rsidR="0078423B" w:rsidRPr="000A3E55" w:rsidRDefault="0078423B">
            <w:pPr>
              <w:rPr>
                <w:b/>
              </w:rPr>
            </w:pPr>
          </w:p>
        </w:tc>
      </w:tr>
      <w:tr w:rsidR="0078423B" w:rsidRPr="000A3E55" w14:paraId="4A761D22" w14:textId="77777777" w:rsidTr="00470908">
        <w:tc>
          <w:tcPr>
            <w:tcW w:w="2166" w:type="dxa"/>
          </w:tcPr>
          <w:p w14:paraId="344C64BF" w14:textId="77777777" w:rsidR="0078423B" w:rsidRPr="000A3E55" w:rsidRDefault="0078423B">
            <w:pPr>
              <w:rPr>
                <w:b/>
                <w:sz w:val="18"/>
                <w:szCs w:val="18"/>
              </w:rPr>
            </w:pPr>
            <w:r w:rsidRPr="000A3E55">
              <w:rPr>
                <w:b/>
                <w:sz w:val="18"/>
                <w:szCs w:val="18"/>
              </w:rPr>
              <w:t>6. Commodity derivatives with physical delivery traded on a platform</w:t>
            </w:r>
          </w:p>
        </w:tc>
        <w:tc>
          <w:tcPr>
            <w:tcW w:w="776" w:type="dxa"/>
          </w:tcPr>
          <w:p w14:paraId="71C1D072" w14:textId="77777777" w:rsidR="0078423B" w:rsidRPr="000A3E55" w:rsidRDefault="0078423B">
            <w:pPr>
              <w:rPr>
                <w:b/>
              </w:rPr>
            </w:pPr>
          </w:p>
        </w:tc>
        <w:tc>
          <w:tcPr>
            <w:tcW w:w="776" w:type="dxa"/>
          </w:tcPr>
          <w:p w14:paraId="3366962F" w14:textId="77777777" w:rsidR="0078423B" w:rsidRPr="000A3E55" w:rsidRDefault="0078423B">
            <w:pPr>
              <w:rPr>
                <w:b/>
              </w:rPr>
            </w:pPr>
          </w:p>
        </w:tc>
        <w:tc>
          <w:tcPr>
            <w:tcW w:w="776" w:type="dxa"/>
          </w:tcPr>
          <w:p w14:paraId="019C4ACA" w14:textId="77777777" w:rsidR="0078423B" w:rsidRPr="000A3E55" w:rsidRDefault="0078423B">
            <w:pPr>
              <w:rPr>
                <w:b/>
              </w:rPr>
            </w:pPr>
          </w:p>
        </w:tc>
        <w:tc>
          <w:tcPr>
            <w:tcW w:w="776" w:type="dxa"/>
          </w:tcPr>
          <w:p w14:paraId="63EDE652" w14:textId="77777777" w:rsidR="0078423B" w:rsidRPr="000A3E55" w:rsidRDefault="0078423B">
            <w:pPr>
              <w:rPr>
                <w:b/>
              </w:rPr>
            </w:pPr>
          </w:p>
        </w:tc>
        <w:tc>
          <w:tcPr>
            <w:tcW w:w="776" w:type="dxa"/>
          </w:tcPr>
          <w:p w14:paraId="38A9C7CF" w14:textId="77777777" w:rsidR="0078423B" w:rsidRPr="000A3E55" w:rsidRDefault="0078423B">
            <w:pPr>
              <w:rPr>
                <w:b/>
              </w:rPr>
            </w:pPr>
          </w:p>
        </w:tc>
        <w:tc>
          <w:tcPr>
            <w:tcW w:w="786" w:type="dxa"/>
          </w:tcPr>
          <w:p w14:paraId="64632457" w14:textId="77777777" w:rsidR="0078423B" w:rsidRPr="000A3E55" w:rsidRDefault="0078423B">
            <w:pPr>
              <w:rPr>
                <w:b/>
              </w:rPr>
            </w:pPr>
          </w:p>
        </w:tc>
      </w:tr>
      <w:tr w:rsidR="0078423B" w:rsidRPr="000A3E55" w14:paraId="7E2D176D" w14:textId="77777777" w:rsidTr="00470908">
        <w:tc>
          <w:tcPr>
            <w:tcW w:w="2166" w:type="dxa"/>
          </w:tcPr>
          <w:p w14:paraId="30488109" w14:textId="77777777" w:rsidR="0078423B" w:rsidRPr="000A3E55" w:rsidRDefault="0078423B" w:rsidP="00AC0177">
            <w:pPr>
              <w:rPr>
                <w:b/>
                <w:sz w:val="18"/>
                <w:szCs w:val="18"/>
              </w:rPr>
            </w:pPr>
            <w:r w:rsidRPr="000A3E55">
              <w:rPr>
                <w:b/>
                <w:sz w:val="18"/>
                <w:szCs w:val="18"/>
              </w:rPr>
              <w:t>7. Commodity derivatives with physical delivery other than 6.</w:t>
            </w:r>
          </w:p>
        </w:tc>
        <w:tc>
          <w:tcPr>
            <w:tcW w:w="776" w:type="dxa"/>
          </w:tcPr>
          <w:p w14:paraId="688B0E62" w14:textId="77777777" w:rsidR="0078423B" w:rsidRPr="000A3E55" w:rsidRDefault="0078423B" w:rsidP="00AC0177">
            <w:pPr>
              <w:rPr>
                <w:b/>
              </w:rPr>
            </w:pPr>
          </w:p>
        </w:tc>
        <w:tc>
          <w:tcPr>
            <w:tcW w:w="776" w:type="dxa"/>
          </w:tcPr>
          <w:p w14:paraId="39B3B6D2" w14:textId="77777777" w:rsidR="0078423B" w:rsidRPr="000A3E55" w:rsidRDefault="0078423B" w:rsidP="00AC0177">
            <w:pPr>
              <w:rPr>
                <w:b/>
              </w:rPr>
            </w:pPr>
          </w:p>
        </w:tc>
        <w:tc>
          <w:tcPr>
            <w:tcW w:w="776" w:type="dxa"/>
          </w:tcPr>
          <w:p w14:paraId="3E795B60" w14:textId="77777777" w:rsidR="0078423B" w:rsidRPr="000A3E55" w:rsidRDefault="0078423B" w:rsidP="00AC0177">
            <w:pPr>
              <w:rPr>
                <w:b/>
              </w:rPr>
            </w:pPr>
          </w:p>
        </w:tc>
        <w:tc>
          <w:tcPr>
            <w:tcW w:w="776" w:type="dxa"/>
          </w:tcPr>
          <w:p w14:paraId="50B3377C" w14:textId="77777777" w:rsidR="0078423B" w:rsidRPr="000A3E55" w:rsidRDefault="0078423B" w:rsidP="00AC0177">
            <w:pPr>
              <w:rPr>
                <w:b/>
              </w:rPr>
            </w:pPr>
          </w:p>
        </w:tc>
        <w:tc>
          <w:tcPr>
            <w:tcW w:w="776" w:type="dxa"/>
          </w:tcPr>
          <w:p w14:paraId="06646013" w14:textId="77777777" w:rsidR="0078423B" w:rsidRPr="000A3E55" w:rsidRDefault="0078423B" w:rsidP="00AC0177">
            <w:pPr>
              <w:rPr>
                <w:b/>
              </w:rPr>
            </w:pPr>
          </w:p>
        </w:tc>
        <w:tc>
          <w:tcPr>
            <w:tcW w:w="786" w:type="dxa"/>
          </w:tcPr>
          <w:p w14:paraId="53C66C14" w14:textId="77777777" w:rsidR="0078423B" w:rsidRPr="000A3E55" w:rsidRDefault="0078423B" w:rsidP="00AC0177">
            <w:pPr>
              <w:rPr>
                <w:b/>
              </w:rPr>
            </w:pPr>
          </w:p>
        </w:tc>
      </w:tr>
      <w:tr w:rsidR="0078423B" w:rsidRPr="000A3E55" w14:paraId="5BEB664A" w14:textId="77777777" w:rsidTr="00470908">
        <w:trPr>
          <w:trHeight w:val="628"/>
        </w:trPr>
        <w:tc>
          <w:tcPr>
            <w:tcW w:w="2166" w:type="dxa"/>
          </w:tcPr>
          <w:p w14:paraId="22E89A79" w14:textId="77777777" w:rsidR="0078423B" w:rsidRPr="000A3E55" w:rsidRDefault="0078423B" w:rsidP="00AC0177">
            <w:pPr>
              <w:rPr>
                <w:b/>
                <w:sz w:val="18"/>
                <w:szCs w:val="18"/>
              </w:rPr>
            </w:pPr>
            <w:r w:rsidRPr="000A3E55">
              <w:rPr>
                <w:b/>
                <w:sz w:val="18"/>
                <w:szCs w:val="18"/>
              </w:rPr>
              <w:t>8. Credit risk derivatives</w:t>
            </w:r>
          </w:p>
        </w:tc>
        <w:tc>
          <w:tcPr>
            <w:tcW w:w="776" w:type="dxa"/>
          </w:tcPr>
          <w:p w14:paraId="507AE0C2" w14:textId="77777777" w:rsidR="0078423B" w:rsidRPr="000A3E55" w:rsidRDefault="0078423B" w:rsidP="00AC0177">
            <w:pPr>
              <w:rPr>
                <w:b/>
              </w:rPr>
            </w:pPr>
          </w:p>
        </w:tc>
        <w:tc>
          <w:tcPr>
            <w:tcW w:w="776" w:type="dxa"/>
          </w:tcPr>
          <w:p w14:paraId="150D5349" w14:textId="77777777" w:rsidR="0078423B" w:rsidRPr="000A3E55" w:rsidRDefault="0078423B" w:rsidP="00AC0177">
            <w:pPr>
              <w:rPr>
                <w:b/>
              </w:rPr>
            </w:pPr>
          </w:p>
        </w:tc>
        <w:tc>
          <w:tcPr>
            <w:tcW w:w="776" w:type="dxa"/>
          </w:tcPr>
          <w:p w14:paraId="3B40E512" w14:textId="77777777" w:rsidR="0078423B" w:rsidRPr="000A3E55" w:rsidRDefault="0078423B" w:rsidP="00AC0177">
            <w:pPr>
              <w:rPr>
                <w:b/>
              </w:rPr>
            </w:pPr>
          </w:p>
        </w:tc>
        <w:tc>
          <w:tcPr>
            <w:tcW w:w="776" w:type="dxa"/>
          </w:tcPr>
          <w:p w14:paraId="43A0BD4E" w14:textId="77777777" w:rsidR="0078423B" w:rsidRPr="000A3E55" w:rsidRDefault="0078423B" w:rsidP="00AC0177">
            <w:pPr>
              <w:rPr>
                <w:b/>
              </w:rPr>
            </w:pPr>
          </w:p>
        </w:tc>
        <w:tc>
          <w:tcPr>
            <w:tcW w:w="776" w:type="dxa"/>
          </w:tcPr>
          <w:p w14:paraId="088B240B" w14:textId="77777777" w:rsidR="0078423B" w:rsidRPr="000A3E55" w:rsidRDefault="0078423B" w:rsidP="00AC0177">
            <w:pPr>
              <w:rPr>
                <w:b/>
              </w:rPr>
            </w:pPr>
          </w:p>
        </w:tc>
        <w:tc>
          <w:tcPr>
            <w:tcW w:w="786" w:type="dxa"/>
          </w:tcPr>
          <w:p w14:paraId="5CF27124" w14:textId="77777777" w:rsidR="0078423B" w:rsidRPr="000A3E55" w:rsidRDefault="0078423B" w:rsidP="00AC0177">
            <w:pPr>
              <w:rPr>
                <w:b/>
              </w:rPr>
            </w:pPr>
          </w:p>
        </w:tc>
      </w:tr>
      <w:tr w:rsidR="0078423B" w:rsidRPr="000A3E55" w14:paraId="552F7C50" w14:textId="77777777" w:rsidTr="00470908">
        <w:trPr>
          <w:trHeight w:val="565"/>
        </w:trPr>
        <w:tc>
          <w:tcPr>
            <w:tcW w:w="2166" w:type="dxa"/>
          </w:tcPr>
          <w:p w14:paraId="70C01A84" w14:textId="77777777" w:rsidR="0078423B" w:rsidRPr="000A3E55" w:rsidRDefault="0078423B" w:rsidP="00AC0177">
            <w:pPr>
              <w:rPr>
                <w:b/>
                <w:sz w:val="18"/>
                <w:szCs w:val="18"/>
              </w:rPr>
            </w:pPr>
            <w:r w:rsidRPr="000A3E55">
              <w:rPr>
                <w:b/>
                <w:sz w:val="18"/>
                <w:szCs w:val="18"/>
              </w:rPr>
              <w:t>9. Contracts for differences</w:t>
            </w:r>
          </w:p>
        </w:tc>
        <w:tc>
          <w:tcPr>
            <w:tcW w:w="776" w:type="dxa"/>
          </w:tcPr>
          <w:p w14:paraId="14C640E7" w14:textId="77777777" w:rsidR="0078423B" w:rsidRPr="000A3E55" w:rsidRDefault="0078423B" w:rsidP="00AC0177">
            <w:pPr>
              <w:rPr>
                <w:b/>
              </w:rPr>
            </w:pPr>
          </w:p>
        </w:tc>
        <w:tc>
          <w:tcPr>
            <w:tcW w:w="776" w:type="dxa"/>
          </w:tcPr>
          <w:p w14:paraId="14B496A4" w14:textId="77777777" w:rsidR="0078423B" w:rsidRPr="000A3E55" w:rsidRDefault="0078423B" w:rsidP="00AC0177">
            <w:pPr>
              <w:rPr>
                <w:b/>
              </w:rPr>
            </w:pPr>
          </w:p>
        </w:tc>
        <w:tc>
          <w:tcPr>
            <w:tcW w:w="776" w:type="dxa"/>
          </w:tcPr>
          <w:p w14:paraId="6F03D84F" w14:textId="77777777" w:rsidR="0078423B" w:rsidRPr="000A3E55" w:rsidRDefault="0078423B" w:rsidP="00AC0177">
            <w:pPr>
              <w:rPr>
                <w:b/>
              </w:rPr>
            </w:pPr>
          </w:p>
        </w:tc>
        <w:tc>
          <w:tcPr>
            <w:tcW w:w="776" w:type="dxa"/>
          </w:tcPr>
          <w:p w14:paraId="018E3A86" w14:textId="77777777" w:rsidR="0078423B" w:rsidRPr="000A3E55" w:rsidRDefault="0078423B" w:rsidP="00AC0177">
            <w:pPr>
              <w:rPr>
                <w:b/>
              </w:rPr>
            </w:pPr>
          </w:p>
        </w:tc>
        <w:tc>
          <w:tcPr>
            <w:tcW w:w="776" w:type="dxa"/>
          </w:tcPr>
          <w:p w14:paraId="4867E8D7" w14:textId="77777777" w:rsidR="0078423B" w:rsidRPr="000A3E55" w:rsidRDefault="0078423B" w:rsidP="00AC0177">
            <w:pPr>
              <w:rPr>
                <w:b/>
              </w:rPr>
            </w:pPr>
          </w:p>
        </w:tc>
        <w:tc>
          <w:tcPr>
            <w:tcW w:w="786" w:type="dxa"/>
          </w:tcPr>
          <w:p w14:paraId="555C68DB" w14:textId="77777777" w:rsidR="0078423B" w:rsidRPr="000A3E55" w:rsidRDefault="0078423B" w:rsidP="00AC0177">
            <w:pPr>
              <w:rPr>
                <w:b/>
              </w:rPr>
            </w:pPr>
          </w:p>
        </w:tc>
      </w:tr>
      <w:tr w:rsidR="0078423B" w:rsidRPr="000A3E55" w14:paraId="5C7DD9FE" w14:textId="77777777" w:rsidTr="00470908">
        <w:trPr>
          <w:trHeight w:val="560"/>
        </w:trPr>
        <w:tc>
          <w:tcPr>
            <w:tcW w:w="2166" w:type="dxa"/>
          </w:tcPr>
          <w:p w14:paraId="19C0F257" w14:textId="77777777" w:rsidR="0078423B" w:rsidRPr="000A3E55" w:rsidRDefault="0078423B" w:rsidP="00AC0177">
            <w:pPr>
              <w:rPr>
                <w:b/>
                <w:sz w:val="18"/>
                <w:szCs w:val="18"/>
              </w:rPr>
            </w:pPr>
            <w:r w:rsidRPr="000A3E55">
              <w:rPr>
                <w:b/>
                <w:sz w:val="18"/>
                <w:szCs w:val="18"/>
              </w:rPr>
              <w:t>10. Other derivatives contracts</w:t>
            </w:r>
          </w:p>
        </w:tc>
        <w:tc>
          <w:tcPr>
            <w:tcW w:w="776" w:type="dxa"/>
          </w:tcPr>
          <w:p w14:paraId="1A1DAEF4" w14:textId="77777777" w:rsidR="0078423B" w:rsidRPr="000A3E55" w:rsidRDefault="0078423B" w:rsidP="00AC0177">
            <w:pPr>
              <w:rPr>
                <w:b/>
              </w:rPr>
            </w:pPr>
          </w:p>
        </w:tc>
        <w:tc>
          <w:tcPr>
            <w:tcW w:w="776" w:type="dxa"/>
          </w:tcPr>
          <w:p w14:paraId="7FCD74B8" w14:textId="77777777" w:rsidR="0078423B" w:rsidRPr="000A3E55" w:rsidRDefault="0078423B" w:rsidP="00AC0177">
            <w:pPr>
              <w:rPr>
                <w:b/>
              </w:rPr>
            </w:pPr>
          </w:p>
        </w:tc>
        <w:tc>
          <w:tcPr>
            <w:tcW w:w="776" w:type="dxa"/>
          </w:tcPr>
          <w:p w14:paraId="0803ABE3" w14:textId="77777777" w:rsidR="0078423B" w:rsidRPr="000A3E55" w:rsidRDefault="0078423B" w:rsidP="00AC0177">
            <w:pPr>
              <w:rPr>
                <w:b/>
              </w:rPr>
            </w:pPr>
          </w:p>
        </w:tc>
        <w:tc>
          <w:tcPr>
            <w:tcW w:w="776" w:type="dxa"/>
          </w:tcPr>
          <w:p w14:paraId="0FE5CC74" w14:textId="77777777" w:rsidR="0078423B" w:rsidRPr="000A3E55" w:rsidRDefault="0078423B" w:rsidP="00AC0177">
            <w:pPr>
              <w:rPr>
                <w:b/>
              </w:rPr>
            </w:pPr>
          </w:p>
        </w:tc>
        <w:tc>
          <w:tcPr>
            <w:tcW w:w="776" w:type="dxa"/>
          </w:tcPr>
          <w:p w14:paraId="7DE13F53" w14:textId="77777777" w:rsidR="0078423B" w:rsidRPr="000A3E55" w:rsidRDefault="0078423B" w:rsidP="00AC0177">
            <w:pPr>
              <w:rPr>
                <w:b/>
              </w:rPr>
            </w:pPr>
          </w:p>
        </w:tc>
        <w:tc>
          <w:tcPr>
            <w:tcW w:w="786" w:type="dxa"/>
          </w:tcPr>
          <w:p w14:paraId="45475467" w14:textId="77777777" w:rsidR="0078423B" w:rsidRPr="000A3E55" w:rsidRDefault="0078423B" w:rsidP="00AC0177">
            <w:pPr>
              <w:rPr>
                <w:b/>
              </w:rPr>
            </w:pPr>
          </w:p>
        </w:tc>
      </w:tr>
      <w:tr w:rsidR="0078423B" w:rsidRPr="000A3E55" w14:paraId="4184BC43" w14:textId="77777777" w:rsidTr="00470908">
        <w:tc>
          <w:tcPr>
            <w:tcW w:w="2166" w:type="dxa"/>
          </w:tcPr>
          <w:p w14:paraId="6320D8A9" w14:textId="77777777" w:rsidR="0078423B" w:rsidRPr="000A3E55" w:rsidRDefault="0078423B" w:rsidP="00E37E98">
            <w:pPr>
              <w:rPr>
                <w:b/>
                <w:sz w:val="18"/>
                <w:szCs w:val="18"/>
              </w:rPr>
            </w:pPr>
            <w:r w:rsidRPr="000A3E55">
              <w:rPr>
                <w:b/>
                <w:sz w:val="18"/>
                <w:szCs w:val="18"/>
              </w:rPr>
              <w:t>11. Emission allowances</w:t>
            </w:r>
          </w:p>
          <w:p w14:paraId="7E24C11A" w14:textId="77777777" w:rsidR="0078423B" w:rsidRPr="000A3E55" w:rsidRDefault="0078423B" w:rsidP="00E37E98">
            <w:pPr>
              <w:rPr>
                <w:b/>
                <w:sz w:val="18"/>
                <w:szCs w:val="18"/>
              </w:rPr>
            </w:pPr>
          </w:p>
          <w:p w14:paraId="6311105C" w14:textId="77777777" w:rsidR="0078423B" w:rsidRPr="000A3E55" w:rsidRDefault="0078423B" w:rsidP="00E37E98">
            <w:pPr>
              <w:rPr>
                <w:b/>
                <w:sz w:val="18"/>
                <w:szCs w:val="18"/>
              </w:rPr>
            </w:pPr>
          </w:p>
        </w:tc>
        <w:tc>
          <w:tcPr>
            <w:tcW w:w="776" w:type="dxa"/>
          </w:tcPr>
          <w:p w14:paraId="20AD7476" w14:textId="77777777" w:rsidR="0078423B" w:rsidRPr="000A3E55" w:rsidRDefault="0078423B" w:rsidP="00AC0177">
            <w:pPr>
              <w:rPr>
                <w:b/>
              </w:rPr>
            </w:pPr>
          </w:p>
        </w:tc>
        <w:tc>
          <w:tcPr>
            <w:tcW w:w="776" w:type="dxa"/>
          </w:tcPr>
          <w:p w14:paraId="3959A0F1" w14:textId="77777777" w:rsidR="0078423B" w:rsidRPr="000A3E55" w:rsidRDefault="0078423B" w:rsidP="00AC0177">
            <w:pPr>
              <w:rPr>
                <w:b/>
              </w:rPr>
            </w:pPr>
          </w:p>
        </w:tc>
        <w:tc>
          <w:tcPr>
            <w:tcW w:w="776" w:type="dxa"/>
          </w:tcPr>
          <w:p w14:paraId="3E8021BB" w14:textId="77777777" w:rsidR="0078423B" w:rsidRPr="000A3E55" w:rsidRDefault="0078423B" w:rsidP="00AC0177">
            <w:pPr>
              <w:rPr>
                <w:b/>
              </w:rPr>
            </w:pPr>
          </w:p>
        </w:tc>
        <w:tc>
          <w:tcPr>
            <w:tcW w:w="776" w:type="dxa"/>
          </w:tcPr>
          <w:p w14:paraId="549AD727" w14:textId="77777777" w:rsidR="0078423B" w:rsidRPr="000A3E55" w:rsidRDefault="0078423B" w:rsidP="00AC0177">
            <w:pPr>
              <w:rPr>
                <w:b/>
              </w:rPr>
            </w:pPr>
          </w:p>
        </w:tc>
        <w:tc>
          <w:tcPr>
            <w:tcW w:w="776" w:type="dxa"/>
          </w:tcPr>
          <w:p w14:paraId="533CD34D" w14:textId="77777777" w:rsidR="0078423B" w:rsidRPr="000A3E55" w:rsidRDefault="0078423B" w:rsidP="00AC0177">
            <w:pPr>
              <w:rPr>
                <w:b/>
              </w:rPr>
            </w:pPr>
          </w:p>
        </w:tc>
        <w:tc>
          <w:tcPr>
            <w:tcW w:w="786" w:type="dxa"/>
          </w:tcPr>
          <w:p w14:paraId="5F830C89" w14:textId="77777777" w:rsidR="0078423B" w:rsidRPr="000A3E55" w:rsidRDefault="0078423B" w:rsidP="00AC0177">
            <w:pPr>
              <w:rPr>
                <w:b/>
              </w:rPr>
            </w:pPr>
          </w:p>
        </w:tc>
      </w:tr>
    </w:tbl>
    <w:p w14:paraId="1C371DAD" w14:textId="77777777" w:rsidR="00A43D75" w:rsidRPr="000A3E55" w:rsidRDefault="00A43D75">
      <w:pPr>
        <w:rPr>
          <w:b/>
        </w:rPr>
      </w:pPr>
      <w:r w:rsidRPr="000A3E55">
        <w:br w:type="page"/>
      </w:r>
    </w:p>
    <w:p w14:paraId="097A2654" w14:textId="77777777" w:rsidR="00E37E98" w:rsidRPr="000A3E55" w:rsidRDefault="00CC4047">
      <w:pPr>
        <w:rPr>
          <w:b/>
        </w:rPr>
      </w:pPr>
      <w:r>
        <w:rPr>
          <w:b/>
        </w:rPr>
        <w:lastRenderedPageBreak/>
        <w:t>Ancillary</w:t>
      </w:r>
      <w:r w:rsidR="00E37E98" w:rsidRPr="000A3E55">
        <w:rPr>
          <w:b/>
        </w:rPr>
        <w:t xml:space="preserve"> services</w:t>
      </w:r>
      <w:r w:rsidR="00684345" w:rsidRPr="000A3E55">
        <w:rPr>
          <w:rStyle w:val="FootnoteReference"/>
          <w:b/>
        </w:rPr>
        <w:footnoteReference w:id="5"/>
      </w:r>
    </w:p>
    <w:tbl>
      <w:tblPr>
        <w:tblStyle w:val="TableGrid"/>
        <w:tblW w:w="0" w:type="auto"/>
        <w:tblInd w:w="-147" w:type="dxa"/>
        <w:tblLook w:val="04A0" w:firstRow="1" w:lastRow="0" w:firstColumn="1" w:lastColumn="0" w:noHBand="0" w:noVBand="1"/>
      </w:tblPr>
      <w:tblGrid>
        <w:gridCol w:w="2178"/>
        <w:gridCol w:w="1083"/>
        <w:gridCol w:w="850"/>
        <w:gridCol w:w="851"/>
        <w:gridCol w:w="850"/>
        <w:gridCol w:w="851"/>
        <w:gridCol w:w="850"/>
        <w:gridCol w:w="1276"/>
      </w:tblGrid>
      <w:tr w:rsidR="00652100" w:rsidRPr="000A3E55" w14:paraId="7CC6D72F" w14:textId="77777777" w:rsidTr="00363C71">
        <w:trPr>
          <w:cantSplit/>
          <w:trHeight w:val="1701"/>
        </w:trPr>
        <w:tc>
          <w:tcPr>
            <w:tcW w:w="2178" w:type="dxa"/>
          </w:tcPr>
          <w:p w14:paraId="2E1D2C00" w14:textId="77777777" w:rsidR="00652100" w:rsidRPr="000A3E55" w:rsidRDefault="00652100" w:rsidP="00DA2B35">
            <w:pPr>
              <w:rPr>
                <w:b/>
              </w:rPr>
            </w:pPr>
          </w:p>
        </w:tc>
        <w:tc>
          <w:tcPr>
            <w:tcW w:w="1083" w:type="dxa"/>
            <w:textDirection w:val="btLr"/>
          </w:tcPr>
          <w:p w14:paraId="302DBA6B" w14:textId="77777777" w:rsidR="00652100" w:rsidRPr="000A3E55" w:rsidRDefault="00363C71" w:rsidP="00E37E98">
            <w:pPr>
              <w:ind w:left="113" w:right="113"/>
              <w:rPr>
                <w:b/>
                <w:sz w:val="18"/>
                <w:szCs w:val="18"/>
              </w:rPr>
            </w:pPr>
            <w:r>
              <w:rPr>
                <w:b/>
                <w:sz w:val="18"/>
                <w:szCs w:val="18"/>
              </w:rPr>
              <w:t>Safekeeping and administration of financial instruments</w:t>
            </w:r>
          </w:p>
        </w:tc>
        <w:tc>
          <w:tcPr>
            <w:tcW w:w="850" w:type="dxa"/>
            <w:textDirection w:val="btLr"/>
          </w:tcPr>
          <w:p w14:paraId="65555A1C" w14:textId="77777777" w:rsidR="00652100" w:rsidRPr="000A3E55" w:rsidRDefault="00652100" w:rsidP="00363C71">
            <w:pPr>
              <w:ind w:left="113" w:right="113"/>
              <w:rPr>
                <w:b/>
                <w:sz w:val="18"/>
                <w:szCs w:val="18"/>
              </w:rPr>
            </w:pPr>
            <w:r w:rsidRPr="000A3E55">
              <w:rPr>
                <w:b/>
                <w:sz w:val="18"/>
                <w:szCs w:val="18"/>
              </w:rPr>
              <w:t xml:space="preserve">Provision of loans </w:t>
            </w:r>
            <w:r w:rsidR="00363C71">
              <w:rPr>
                <w:b/>
                <w:sz w:val="18"/>
                <w:szCs w:val="18"/>
              </w:rPr>
              <w:t xml:space="preserve"> when providing investment service</w:t>
            </w:r>
          </w:p>
        </w:tc>
        <w:tc>
          <w:tcPr>
            <w:tcW w:w="851" w:type="dxa"/>
            <w:textDirection w:val="btLr"/>
          </w:tcPr>
          <w:p w14:paraId="166EC9B4" w14:textId="77777777" w:rsidR="00652100" w:rsidRPr="000A3E55" w:rsidRDefault="00652100" w:rsidP="00DA2B35">
            <w:pPr>
              <w:ind w:left="113" w:right="113"/>
              <w:rPr>
                <w:b/>
                <w:sz w:val="18"/>
                <w:szCs w:val="18"/>
              </w:rPr>
            </w:pPr>
            <w:r w:rsidRPr="000A3E55">
              <w:rPr>
                <w:b/>
                <w:sz w:val="18"/>
                <w:szCs w:val="18"/>
              </w:rPr>
              <w:t>Advice on capital structure and business strategy</w:t>
            </w:r>
          </w:p>
        </w:tc>
        <w:tc>
          <w:tcPr>
            <w:tcW w:w="850" w:type="dxa"/>
            <w:textDirection w:val="btLr"/>
          </w:tcPr>
          <w:p w14:paraId="333CB697" w14:textId="77777777" w:rsidR="00652100" w:rsidRPr="000A3E55" w:rsidRDefault="00652100" w:rsidP="00DA2B35">
            <w:pPr>
              <w:ind w:left="113" w:right="113"/>
              <w:rPr>
                <w:b/>
                <w:sz w:val="18"/>
                <w:szCs w:val="18"/>
              </w:rPr>
            </w:pPr>
            <w:r w:rsidRPr="000A3E55">
              <w:rPr>
                <w:b/>
                <w:sz w:val="18"/>
                <w:szCs w:val="18"/>
              </w:rPr>
              <w:t>Foreign exchange services</w:t>
            </w:r>
          </w:p>
        </w:tc>
        <w:tc>
          <w:tcPr>
            <w:tcW w:w="851" w:type="dxa"/>
            <w:textDirection w:val="btLr"/>
          </w:tcPr>
          <w:p w14:paraId="3B357B2C" w14:textId="77777777" w:rsidR="00652100" w:rsidRPr="000A3E55" w:rsidRDefault="00652100" w:rsidP="00DA2B35">
            <w:pPr>
              <w:ind w:left="113" w:right="113"/>
              <w:rPr>
                <w:b/>
                <w:sz w:val="18"/>
                <w:szCs w:val="18"/>
              </w:rPr>
            </w:pPr>
            <w:r w:rsidRPr="000A3E55">
              <w:rPr>
                <w:b/>
                <w:sz w:val="18"/>
                <w:szCs w:val="18"/>
              </w:rPr>
              <w:t>Research or financial analysis of investments</w:t>
            </w:r>
          </w:p>
        </w:tc>
        <w:tc>
          <w:tcPr>
            <w:tcW w:w="850" w:type="dxa"/>
            <w:textDirection w:val="btLr"/>
          </w:tcPr>
          <w:p w14:paraId="0DC3294B" w14:textId="77777777" w:rsidR="00652100" w:rsidRPr="000A3E55" w:rsidRDefault="00652100" w:rsidP="00363C71">
            <w:pPr>
              <w:ind w:left="113" w:right="113"/>
              <w:rPr>
                <w:b/>
                <w:sz w:val="18"/>
                <w:szCs w:val="18"/>
              </w:rPr>
            </w:pPr>
            <w:r w:rsidRPr="000A3E55">
              <w:rPr>
                <w:b/>
                <w:sz w:val="18"/>
                <w:szCs w:val="18"/>
              </w:rPr>
              <w:t xml:space="preserve">Services relating to </w:t>
            </w:r>
            <w:r w:rsidR="00363C71">
              <w:rPr>
                <w:b/>
                <w:sz w:val="18"/>
                <w:szCs w:val="18"/>
              </w:rPr>
              <w:t>underwriting</w:t>
            </w:r>
          </w:p>
        </w:tc>
        <w:tc>
          <w:tcPr>
            <w:tcW w:w="1276" w:type="dxa"/>
            <w:textDirection w:val="btLr"/>
          </w:tcPr>
          <w:p w14:paraId="1313E1B7" w14:textId="77777777" w:rsidR="00652100" w:rsidRPr="000A3E55" w:rsidRDefault="00652100" w:rsidP="00DA2B35">
            <w:pPr>
              <w:ind w:left="113" w:right="113"/>
              <w:rPr>
                <w:b/>
                <w:sz w:val="18"/>
                <w:szCs w:val="18"/>
              </w:rPr>
            </w:pPr>
            <w:r w:rsidRPr="000A3E55">
              <w:rPr>
                <w:b/>
                <w:sz w:val="18"/>
                <w:szCs w:val="18"/>
              </w:rPr>
              <w:t xml:space="preserve">Derivatives services with respect to instruments falling under 5, 6, 7 and 10. </w:t>
            </w:r>
          </w:p>
        </w:tc>
      </w:tr>
      <w:tr w:rsidR="00652100" w:rsidRPr="000A3E55" w14:paraId="1B72E2F9" w14:textId="77777777" w:rsidTr="00363C71">
        <w:trPr>
          <w:trHeight w:val="704"/>
        </w:trPr>
        <w:tc>
          <w:tcPr>
            <w:tcW w:w="2178" w:type="dxa"/>
          </w:tcPr>
          <w:p w14:paraId="733A1EA2" w14:textId="77777777" w:rsidR="00652100" w:rsidRPr="000A3E55" w:rsidRDefault="00652100" w:rsidP="004F3512">
            <w:pPr>
              <w:rPr>
                <w:b/>
                <w:sz w:val="18"/>
                <w:szCs w:val="18"/>
              </w:rPr>
            </w:pPr>
            <w:r w:rsidRPr="000A3E55">
              <w:rPr>
                <w:b/>
                <w:sz w:val="18"/>
                <w:szCs w:val="18"/>
              </w:rPr>
              <w:t xml:space="preserve">1. </w:t>
            </w:r>
            <w:r w:rsidR="004F3512">
              <w:rPr>
                <w:b/>
                <w:sz w:val="18"/>
                <w:szCs w:val="18"/>
              </w:rPr>
              <w:t>Transferable securities</w:t>
            </w:r>
          </w:p>
        </w:tc>
        <w:tc>
          <w:tcPr>
            <w:tcW w:w="1083" w:type="dxa"/>
          </w:tcPr>
          <w:p w14:paraId="17B610BC" w14:textId="77777777" w:rsidR="00652100" w:rsidRPr="000A3E55" w:rsidRDefault="00652100" w:rsidP="00DA2B35">
            <w:pPr>
              <w:rPr>
                <w:b/>
                <w:sz w:val="18"/>
                <w:szCs w:val="18"/>
              </w:rPr>
            </w:pPr>
          </w:p>
        </w:tc>
        <w:tc>
          <w:tcPr>
            <w:tcW w:w="850" w:type="dxa"/>
          </w:tcPr>
          <w:p w14:paraId="3EACB4B8" w14:textId="77777777" w:rsidR="00652100" w:rsidRPr="000A3E55" w:rsidRDefault="00652100" w:rsidP="00DA2B35">
            <w:pPr>
              <w:rPr>
                <w:b/>
              </w:rPr>
            </w:pPr>
          </w:p>
        </w:tc>
        <w:tc>
          <w:tcPr>
            <w:tcW w:w="851" w:type="dxa"/>
          </w:tcPr>
          <w:p w14:paraId="029DC812" w14:textId="77777777" w:rsidR="00652100" w:rsidRPr="000A3E55" w:rsidRDefault="00652100" w:rsidP="00DA2B35">
            <w:pPr>
              <w:rPr>
                <w:b/>
              </w:rPr>
            </w:pPr>
          </w:p>
        </w:tc>
        <w:tc>
          <w:tcPr>
            <w:tcW w:w="850" w:type="dxa"/>
          </w:tcPr>
          <w:p w14:paraId="7A110A1E" w14:textId="77777777" w:rsidR="00652100" w:rsidRPr="000A3E55" w:rsidRDefault="00652100" w:rsidP="00DA2B35">
            <w:pPr>
              <w:rPr>
                <w:b/>
              </w:rPr>
            </w:pPr>
          </w:p>
        </w:tc>
        <w:tc>
          <w:tcPr>
            <w:tcW w:w="851" w:type="dxa"/>
          </w:tcPr>
          <w:p w14:paraId="7ABE07D9" w14:textId="77777777" w:rsidR="00652100" w:rsidRPr="000A3E55" w:rsidRDefault="00652100" w:rsidP="00DA2B35">
            <w:pPr>
              <w:rPr>
                <w:b/>
              </w:rPr>
            </w:pPr>
          </w:p>
        </w:tc>
        <w:tc>
          <w:tcPr>
            <w:tcW w:w="850" w:type="dxa"/>
          </w:tcPr>
          <w:p w14:paraId="674016C7" w14:textId="77777777" w:rsidR="00652100" w:rsidRPr="000A3E55" w:rsidRDefault="00652100" w:rsidP="00DA2B35">
            <w:pPr>
              <w:rPr>
                <w:b/>
              </w:rPr>
            </w:pPr>
          </w:p>
        </w:tc>
        <w:tc>
          <w:tcPr>
            <w:tcW w:w="1276" w:type="dxa"/>
          </w:tcPr>
          <w:p w14:paraId="20B6AF61" w14:textId="77777777" w:rsidR="00652100" w:rsidRPr="000A3E55" w:rsidRDefault="00652100" w:rsidP="00DA2B35">
            <w:pPr>
              <w:rPr>
                <w:b/>
              </w:rPr>
            </w:pPr>
          </w:p>
        </w:tc>
      </w:tr>
      <w:tr w:rsidR="00652100" w:rsidRPr="000A3E55" w14:paraId="11D762DE" w14:textId="77777777" w:rsidTr="00363C71">
        <w:trPr>
          <w:trHeight w:val="554"/>
        </w:trPr>
        <w:tc>
          <w:tcPr>
            <w:tcW w:w="2178" w:type="dxa"/>
          </w:tcPr>
          <w:p w14:paraId="217A2FEB" w14:textId="77777777" w:rsidR="00652100" w:rsidRPr="000A3E55" w:rsidRDefault="00363C71" w:rsidP="00DA2B35">
            <w:pPr>
              <w:rPr>
                <w:b/>
                <w:sz w:val="18"/>
                <w:szCs w:val="18"/>
              </w:rPr>
            </w:pPr>
            <w:r>
              <w:rPr>
                <w:b/>
                <w:sz w:val="18"/>
                <w:szCs w:val="18"/>
              </w:rPr>
              <w:t>2. Money-</w:t>
            </w:r>
            <w:r w:rsidR="00652100" w:rsidRPr="000A3E55">
              <w:rPr>
                <w:b/>
                <w:sz w:val="18"/>
                <w:szCs w:val="18"/>
              </w:rPr>
              <w:t>market instruments</w:t>
            </w:r>
          </w:p>
        </w:tc>
        <w:tc>
          <w:tcPr>
            <w:tcW w:w="1083" w:type="dxa"/>
          </w:tcPr>
          <w:p w14:paraId="678D0C75" w14:textId="77777777" w:rsidR="00652100" w:rsidRPr="000A3E55" w:rsidRDefault="00652100" w:rsidP="00DA2B35">
            <w:pPr>
              <w:rPr>
                <w:b/>
              </w:rPr>
            </w:pPr>
          </w:p>
        </w:tc>
        <w:tc>
          <w:tcPr>
            <w:tcW w:w="850" w:type="dxa"/>
          </w:tcPr>
          <w:p w14:paraId="2923C649" w14:textId="77777777" w:rsidR="00652100" w:rsidRPr="000A3E55" w:rsidRDefault="00652100" w:rsidP="00DA2B35">
            <w:pPr>
              <w:rPr>
                <w:b/>
              </w:rPr>
            </w:pPr>
          </w:p>
        </w:tc>
        <w:tc>
          <w:tcPr>
            <w:tcW w:w="851" w:type="dxa"/>
          </w:tcPr>
          <w:p w14:paraId="5C7AB9EE" w14:textId="77777777" w:rsidR="00652100" w:rsidRPr="000A3E55" w:rsidRDefault="00652100" w:rsidP="00DA2B35">
            <w:pPr>
              <w:rPr>
                <w:b/>
              </w:rPr>
            </w:pPr>
          </w:p>
        </w:tc>
        <w:tc>
          <w:tcPr>
            <w:tcW w:w="850" w:type="dxa"/>
          </w:tcPr>
          <w:p w14:paraId="6B3BD060" w14:textId="77777777" w:rsidR="00652100" w:rsidRPr="000A3E55" w:rsidRDefault="00652100" w:rsidP="00DA2B35">
            <w:pPr>
              <w:rPr>
                <w:b/>
              </w:rPr>
            </w:pPr>
          </w:p>
        </w:tc>
        <w:tc>
          <w:tcPr>
            <w:tcW w:w="851" w:type="dxa"/>
          </w:tcPr>
          <w:p w14:paraId="70B5E8CF" w14:textId="77777777" w:rsidR="00652100" w:rsidRPr="000A3E55" w:rsidRDefault="00652100" w:rsidP="00DA2B35">
            <w:pPr>
              <w:rPr>
                <w:b/>
              </w:rPr>
            </w:pPr>
          </w:p>
        </w:tc>
        <w:tc>
          <w:tcPr>
            <w:tcW w:w="850" w:type="dxa"/>
          </w:tcPr>
          <w:p w14:paraId="0DB149CF" w14:textId="77777777" w:rsidR="00652100" w:rsidRPr="000A3E55" w:rsidRDefault="00652100" w:rsidP="00DA2B35">
            <w:pPr>
              <w:rPr>
                <w:b/>
              </w:rPr>
            </w:pPr>
          </w:p>
        </w:tc>
        <w:tc>
          <w:tcPr>
            <w:tcW w:w="1276" w:type="dxa"/>
          </w:tcPr>
          <w:p w14:paraId="6569405F" w14:textId="77777777" w:rsidR="00652100" w:rsidRPr="000A3E55" w:rsidRDefault="00652100" w:rsidP="00DA2B35">
            <w:pPr>
              <w:rPr>
                <w:b/>
              </w:rPr>
            </w:pPr>
          </w:p>
        </w:tc>
      </w:tr>
      <w:tr w:rsidR="00652100" w:rsidRPr="000A3E55" w14:paraId="76506C4A" w14:textId="77777777" w:rsidTr="00363C71">
        <w:trPr>
          <w:trHeight w:val="693"/>
        </w:trPr>
        <w:tc>
          <w:tcPr>
            <w:tcW w:w="2178" w:type="dxa"/>
          </w:tcPr>
          <w:p w14:paraId="0EF896C6" w14:textId="77777777" w:rsidR="00652100" w:rsidRPr="000A3E55" w:rsidRDefault="00652100" w:rsidP="00CC4047">
            <w:pPr>
              <w:rPr>
                <w:b/>
                <w:sz w:val="18"/>
                <w:szCs w:val="18"/>
              </w:rPr>
            </w:pPr>
            <w:r w:rsidRPr="000A3E55">
              <w:rPr>
                <w:b/>
                <w:sz w:val="18"/>
                <w:szCs w:val="18"/>
              </w:rPr>
              <w:t xml:space="preserve">3. Units of </w:t>
            </w:r>
            <w:r w:rsidR="00CC4047">
              <w:rPr>
                <w:b/>
                <w:sz w:val="18"/>
                <w:szCs w:val="18"/>
              </w:rPr>
              <w:t>collective investment undertakings</w:t>
            </w:r>
          </w:p>
        </w:tc>
        <w:tc>
          <w:tcPr>
            <w:tcW w:w="1083" w:type="dxa"/>
          </w:tcPr>
          <w:p w14:paraId="71BCDF47" w14:textId="77777777" w:rsidR="00652100" w:rsidRPr="000A3E55" w:rsidRDefault="00652100" w:rsidP="00DA2B35">
            <w:pPr>
              <w:rPr>
                <w:b/>
              </w:rPr>
            </w:pPr>
          </w:p>
        </w:tc>
        <w:tc>
          <w:tcPr>
            <w:tcW w:w="850" w:type="dxa"/>
          </w:tcPr>
          <w:p w14:paraId="75CE8D38" w14:textId="77777777" w:rsidR="00652100" w:rsidRPr="000A3E55" w:rsidRDefault="00652100" w:rsidP="00DA2B35">
            <w:pPr>
              <w:rPr>
                <w:b/>
              </w:rPr>
            </w:pPr>
          </w:p>
        </w:tc>
        <w:tc>
          <w:tcPr>
            <w:tcW w:w="851" w:type="dxa"/>
          </w:tcPr>
          <w:p w14:paraId="100C82E0" w14:textId="77777777" w:rsidR="00652100" w:rsidRPr="000A3E55" w:rsidRDefault="00652100" w:rsidP="00DA2B35">
            <w:pPr>
              <w:rPr>
                <w:b/>
              </w:rPr>
            </w:pPr>
          </w:p>
        </w:tc>
        <w:tc>
          <w:tcPr>
            <w:tcW w:w="850" w:type="dxa"/>
          </w:tcPr>
          <w:p w14:paraId="4B0583A5" w14:textId="77777777" w:rsidR="00652100" w:rsidRPr="000A3E55" w:rsidRDefault="00652100" w:rsidP="00DA2B35">
            <w:pPr>
              <w:rPr>
                <w:b/>
              </w:rPr>
            </w:pPr>
          </w:p>
        </w:tc>
        <w:tc>
          <w:tcPr>
            <w:tcW w:w="851" w:type="dxa"/>
          </w:tcPr>
          <w:p w14:paraId="2D983A97" w14:textId="77777777" w:rsidR="00652100" w:rsidRPr="000A3E55" w:rsidRDefault="00652100" w:rsidP="00DA2B35">
            <w:pPr>
              <w:rPr>
                <w:b/>
              </w:rPr>
            </w:pPr>
          </w:p>
        </w:tc>
        <w:tc>
          <w:tcPr>
            <w:tcW w:w="850" w:type="dxa"/>
          </w:tcPr>
          <w:p w14:paraId="440C910A" w14:textId="77777777" w:rsidR="00652100" w:rsidRPr="000A3E55" w:rsidRDefault="00652100" w:rsidP="00DA2B35">
            <w:pPr>
              <w:rPr>
                <w:b/>
              </w:rPr>
            </w:pPr>
          </w:p>
        </w:tc>
        <w:tc>
          <w:tcPr>
            <w:tcW w:w="1276" w:type="dxa"/>
          </w:tcPr>
          <w:p w14:paraId="312512D6" w14:textId="77777777" w:rsidR="00652100" w:rsidRPr="000A3E55" w:rsidRDefault="00652100" w:rsidP="00DA2B35">
            <w:pPr>
              <w:rPr>
                <w:b/>
              </w:rPr>
            </w:pPr>
          </w:p>
        </w:tc>
      </w:tr>
      <w:tr w:rsidR="00652100" w:rsidRPr="000A3E55" w14:paraId="5B078553" w14:textId="77777777" w:rsidTr="00363C71">
        <w:tc>
          <w:tcPr>
            <w:tcW w:w="2178" w:type="dxa"/>
          </w:tcPr>
          <w:p w14:paraId="065736D7" w14:textId="77777777" w:rsidR="00652100" w:rsidRPr="000A3E55" w:rsidRDefault="00652100" w:rsidP="00DA2B35">
            <w:pPr>
              <w:rPr>
                <w:b/>
                <w:sz w:val="18"/>
                <w:szCs w:val="18"/>
              </w:rPr>
            </w:pPr>
            <w:r w:rsidRPr="000A3E55">
              <w:rPr>
                <w:b/>
                <w:sz w:val="18"/>
                <w:szCs w:val="18"/>
              </w:rPr>
              <w:t xml:space="preserve">4. Derivatives (other than commodities) with physical </w:t>
            </w:r>
            <w:r w:rsidR="00CC4047">
              <w:rPr>
                <w:b/>
                <w:sz w:val="18"/>
                <w:szCs w:val="18"/>
              </w:rPr>
              <w:t xml:space="preserve">or cash </w:t>
            </w:r>
            <w:r w:rsidRPr="000A3E55">
              <w:rPr>
                <w:b/>
                <w:sz w:val="18"/>
                <w:szCs w:val="18"/>
              </w:rPr>
              <w:t>delivery</w:t>
            </w:r>
          </w:p>
        </w:tc>
        <w:tc>
          <w:tcPr>
            <w:tcW w:w="1083" w:type="dxa"/>
          </w:tcPr>
          <w:p w14:paraId="5ADF9592" w14:textId="77777777" w:rsidR="00652100" w:rsidRPr="000A3E55" w:rsidRDefault="00652100" w:rsidP="00DA2B35">
            <w:pPr>
              <w:rPr>
                <w:b/>
              </w:rPr>
            </w:pPr>
          </w:p>
        </w:tc>
        <w:tc>
          <w:tcPr>
            <w:tcW w:w="850" w:type="dxa"/>
          </w:tcPr>
          <w:p w14:paraId="4E79D61C" w14:textId="77777777" w:rsidR="00652100" w:rsidRPr="000A3E55" w:rsidRDefault="00652100" w:rsidP="00DA2B35">
            <w:pPr>
              <w:rPr>
                <w:b/>
              </w:rPr>
            </w:pPr>
          </w:p>
        </w:tc>
        <w:tc>
          <w:tcPr>
            <w:tcW w:w="851" w:type="dxa"/>
          </w:tcPr>
          <w:p w14:paraId="3317C25F" w14:textId="77777777" w:rsidR="00652100" w:rsidRPr="000A3E55" w:rsidRDefault="00652100" w:rsidP="00DA2B35">
            <w:pPr>
              <w:rPr>
                <w:b/>
              </w:rPr>
            </w:pPr>
          </w:p>
        </w:tc>
        <w:tc>
          <w:tcPr>
            <w:tcW w:w="850" w:type="dxa"/>
          </w:tcPr>
          <w:p w14:paraId="318873F4" w14:textId="77777777" w:rsidR="00652100" w:rsidRPr="000A3E55" w:rsidRDefault="00652100" w:rsidP="00DA2B35">
            <w:pPr>
              <w:rPr>
                <w:b/>
              </w:rPr>
            </w:pPr>
          </w:p>
        </w:tc>
        <w:tc>
          <w:tcPr>
            <w:tcW w:w="851" w:type="dxa"/>
          </w:tcPr>
          <w:p w14:paraId="5AD52F61" w14:textId="77777777" w:rsidR="00652100" w:rsidRPr="000A3E55" w:rsidRDefault="00652100" w:rsidP="00DA2B35">
            <w:pPr>
              <w:rPr>
                <w:b/>
              </w:rPr>
            </w:pPr>
          </w:p>
        </w:tc>
        <w:tc>
          <w:tcPr>
            <w:tcW w:w="850" w:type="dxa"/>
          </w:tcPr>
          <w:p w14:paraId="3F8790FA" w14:textId="77777777" w:rsidR="00652100" w:rsidRPr="000A3E55" w:rsidRDefault="00652100" w:rsidP="00DA2B35">
            <w:pPr>
              <w:rPr>
                <w:b/>
              </w:rPr>
            </w:pPr>
          </w:p>
        </w:tc>
        <w:tc>
          <w:tcPr>
            <w:tcW w:w="1276" w:type="dxa"/>
          </w:tcPr>
          <w:p w14:paraId="4ED1A082" w14:textId="77777777" w:rsidR="00652100" w:rsidRPr="000A3E55" w:rsidRDefault="00652100" w:rsidP="00DA2B35">
            <w:pPr>
              <w:rPr>
                <w:b/>
              </w:rPr>
            </w:pPr>
          </w:p>
        </w:tc>
      </w:tr>
      <w:tr w:rsidR="00652100" w:rsidRPr="000A3E55" w14:paraId="59762C0C" w14:textId="77777777" w:rsidTr="00363C71">
        <w:trPr>
          <w:trHeight w:val="563"/>
        </w:trPr>
        <w:tc>
          <w:tcPr>
            <w:tcW w:w="2178" w:type="dxa"/>
          </w:tcPr>
          <w:p w14:paraId="4A92A2C9" w14:textId="77777777" w:rsidR="00652100" w:rsidRPr="000A3E55" w:rsidRDefault="00CC4047" w:rsidP="00DA2B35">
            <w:pPr>
              <w:rPr>
                <w:b/>
                <w:sz w:val="18"/>
                <w:szCs w:val="18"/>
              </w:rPr>
            </w:pPr>
            <w:r>
              <w:rPr>
                <w:b/>
                <w:sz w:val="18"/>
                <w:szCs w:val="18"/>
              </w:rPr>
              <w:t>5. Commodity d</w:t>
            </w:r>
            <w:r w:rsidR="00652100" w:rsidRPr="000A3E55">
              <w:rPr>
                <w:b/>
                <w:sz w:val="18"/>
                <w:szCs w:val="18"/>
              </w:rPr>
              <w:t>erivatives with cash settlement</w:t>
            </w:r>
          </w:p>
        </w:tc>
        <w:tc>
          <w:tcPr>
            <w:tcW w:w="1083" w:type="dxa"/>
          </w:tcPr>
          <w:p w14:paraId="767BC67E" w14:textId="77777777" w:rsidR="00652100" w:rsidRPr="000A3E55" w:rsidRDefault="00652100" w:rsidP="00DA2B35">
            <w:pPr>
              <w:rPr>
                <w:b/>
              </w:rPr>
            </w:pPr>
          </w:p>
        </w:tc>
        <w:tc>
          <w:tcPr>
            <w:tcW w:w="850" w:type="dxa"/>
          </w:tcPr>
          <w:p w14:paraId="057AC8F0" w14:textId="77777777" w:rsidR="00652100" w:rsidRPr="000A3E55" w:rsidRDefault="00652100" w:rsidP="00DA2B35">
            <w:pPr>
              <w:rPr>
                <w:b/>
              </w:rPr>
            </w:pPr>
          </w:p>
        </w:tc>
        <w:tc>
          <w:tcPr>
            <w:tcW w:w="851" w:type="dxa"/>
          </w:tcPr>
          <w:p w14:paraId="527B47B9" w14:textId="77777777" w:rsidR="00652100" w:rsidRPr="000A3E55" w:rsidRDefault="00652100" w:rsidP="00DA2B35">
            <w:pPr>
              <w:rPr>
                <w:b/>
              </w:rPr>
            </w:pPr>
          </w:p>
        </w:tc>
        <w:tc>
          <w:tcPr>
            <w:tcW w:w="850" w:type="dxa"/>
          </w:tcPr>
          <w:p w14:paraId="5E7B684F" w14:textId="77777777" w:rsidR="00652100" w:rsidRPr="000A3E55" w:rsidRDefault="00652100" w:rsidP="00DA2B35">
            <w:pPr>
              <w:rPr>
                <w:b/>
              </w:rPr>
            </w:pPr>
          </w:p>
        </w:tc>
        <w:tc>
          <w:tcPr>
            <w:tcW w:w="851" w:type="dxa"/>
          </w:tcPr>
          <w:p w14:paraId="3F5D9250" w14:textId="77777777" w:rsidR="00652100" w:rsidRPr="000A3E55" w:rsidRDefault="00652100" w:rsidP="00DA2B35">
            <w:pPr>
              <w:rPr>
                <w:b/>
              </w:rPr>
            </w:pPr>
          </w:p>
        </w:tc>
        <w:tc>
          <w:tcPr>
            <w:tcW w:w="850" w:type="dxa"/>
          </w:tcPr>
          <w:p w14:paraId="03C2EB52" w14:textId="77777777" w:rsidR="00652100" w:rsidRPr="000A3E55" w:rsidRDefault="00652100" w:rsidP="00DA2B35">
            <w:pPr>
              <w:rPr>
                <w:b/>
              </w:rPr>
            </w:pPr>
          </w:p>
        </w:tc>
        <w:tc>
          <w:tcPr>
            <w:tcW w:w="1276" w:type="dxa"/>
          </w:tcPr>
          <w:p w14:paraId="67CA5D9D" w14:textId="77777777" w:rsidR="00652100" w:rsidRPr="000A3E55" w:rsidRDefault="00652100" w:rsidP="00DA2B35">
            <w:pPr>
              <w:rPr>
                <w:b/>
              </w:rPr>
            </w:pPr>
          </w:p>
        </w:tc>
      </w:tr>
      <w:tr w:rsidR="00652100" w:rsidRPr="000A3E55" w14:paraId="74C1BEF9" w14:textId="77777777" w:rsidTr="00363C71">
        <w:tc>
          <w:tcPr>
            <w:tcW w:w="2178" w:type="dxa"/>
          </w:tcPr>
          <w:p w14:paraId="2584A44C" w14:textId="77777777" w:rsidR="00652100" w:rsidRPr="000A3E55" w:rsidRDefault="00652100" w:rsidP="00DA2B35">
            <w:pPr>
              <w:rPr>
                <w:b/>
                <w:sz w:val="18"/>
                <w:szCs w:val="18"/>
              </w:rPr>
            </w:pPr>
            <w:r w:rsidRPr="000A3E55">
              <w:rPr>
                <w:b/>
                <w:sz w:val="18"/>
                <w:szCs w:val="18"/>
              </w:rPr>
              <w:t>6. Commodity derivatives with physical delivery traded on a platform</w:t>
            </w:r>
          </w:p>
        </w:tc>
        <w:tc>
          <w:tcPr>
            <w:tcW w:w="1083" w:type="dxa"/>
          </w:tcPr>
          <w:p w14:paraId="6C9FCC93" w14:textId="77777777" w:rsidR="00652100" w:rsidRPr="000A3E55" w:rsidRDefault="00652100" w:rsidP="00DA2B35">
            <w:pPr>
              <w:rPr>
                <w:b/>
              </w:rPr>
            </w:pPr>
          </w:p>
        </w:tc>
        <w:tc>
          <w:tcPr>
            <w:tcW w:w="850" w:type="dxa"/>
          </w:tcPr>
          <w:p w14:paraId="497822DB" w14:textId="77777777" w:rsidR="00652100" w:rsidRPr="000A3E55" w:rsidRDefault="00652100" w:rsidP="00DA2B35">
            <w:pPr>
              <w:rPr>
                <w:b/>
              </w:rPr>
            </w:pPr>
          </w:p>
        </w:tc>
        <w:tc>
          <w:tcPr>
            <w:tcW w:w="851" w:type="dxa"/>
          </w:tcPr>
          <w:p w14:paraId="20DE045A" w14:textId="77777777" w:rsidR="00652100" w:rsidRPr="000A3E55" w:rsidRDefault="00652100" w:rsidP="00DA2B35">
            <w:pPr>
              <w:rPr>
                <w:b/>
              </w:rPr>
            </w:pPr>
          </w:p>
        </w:tc>
        <w:tc>
          <w:tcPr>
            <w:tcW w:w="850" w:type="dxa"/>
          </w:tcPr>
          <w:p w14:paraId="0059AD8B" w14:textId="77777777" w:rsidR="00652100" w:rsidRPr="000A3E55" w:rsidRDefault="00652100" w:rsidP="00DA2B35">
            <w:pPr>
              <w:rPr>
                <w:b/>
              </w:rPr>
            </w:pPr>
          </w:p>
        </w:tc>
        <w:tc>
          <w:tcPr>
            <w:tcW w:w="851" w:type="dxa"/>
          </w:tcPr>
          <w:p w14:paraId="0B634D7E" w14:textId="77777777" w:rsidR="00652100" w:rsidRPr="000A3E55" w:rsidRDefault="00652100" w:rsidP="00DA2B35">
            <w:pPr>
              <w:rPr>
                <w:b/>
              </w:rPr>
            </w:pPr>
          </w:p>
        </w:tc>
        <w:tc>
          <w:tcPr>
            <w:tcW w:w="850" w:type="dxa"/>
          </w:tcPr>
          <w:p w14:paraId="7BA0A3C0" w14:textId="77777777" w:rsidR="00652100" w:rsidRPr="000A3E55" w:rsidRDefault="00652100" w:rsidP="00DA2B35">
            <w:pPr>
              <w:rPr>
                <w:b/>
              </w:rPr>
            </w:pPr>
          </w:p>
        </w:tc>
        <w:tc>
          <w:tcPr>
            <w:tcW w:w="1276" w:type="dxa"/>
          </w:tcPr>
          <w:p w14:paraId="5CB7082E" w14:textId="77777777" w:rsidR="00652100" w:rsidRPr="000A3E55" w:rsidRDefault="00652100" w:rsidP="00DA2B35">
            <w:pPr>
              <w:rPr>
                <w:b/>
              </w:rPr>
            </w:pPr>
          </w:p>
        </w:tc>
      </w:tr>
      <w:tr w:rsidR="00652100" w:rsidRPr="000A3E55" w14:paraId="63B31FB0" w14:textId="77777777" w:rsidTr="00363C71">
        <w:tc>
          <w:tcPr>
            <w:tcW w:w="2178" w:type="dxa"/>
          </w:tcPr>
          <w:p w14:paraId="47C856BC" w14:textId="77777777" w:rsidR="00652100" w:rsidRPr="000A3E55" w:rsidRDefault="00652100" w:rsidP="00DA2B35">
            <w:pPr>
              <w:rPr>
                <w:b/>
                <w:sz w:val="18"/>
                <w:szCs w:val="18"/>
              </w:rPr>
            </w:pPr>
            <w:r w:rsidRPr="000A3E55">
              <w:rPr>
                <w:b/>
                <w:sz w:val="18"/>
                <w:szCs w:val="18"/>
              </w:rPr>
              <w:t>7. Commodity derivatives with physical delivery other than 6.</w:t>
            </w:r>
          </w:p>
        </w:tc>
        <w:tc>
          <w:tcPr>
            <w:tcW w:w="1083" w:type="dxa"/>
          </w:tcPr>
          <w:p w14:paraId="6BB442EF" w14:textId="77777777" w:rsidR="00652100" w:rsidRPr="000A3E55" w:rsidRDefault="00652100" w:rsidP="00DA2B35">
            <w:pPr>
              <w:rPr>
                <w:b/>
              </w:rPr>
            </w:pPr>
          </w:p>
        </w:tc>
        <w:tc>
          <w:tcPr>
            <w:tcW w:w="850" w:type="dxa"/>
          </w:tcPr>
          <w:p w14:paraId="7D78C674" w14:textId="77777777" w:rsidR="00652100" w:rsidRPr="000A3E55" w:rsidRDefault="00652100" w:rsidP="00DA2B35">
            <w:pPr>
              <w:rPr>
                <w:b/>
              </w:rPr>
            </w:pPr>
          </w:p>
        </w:tc>
        <w:tc>
          <w:tcPr>
            <w:tcW w:w="851" w:type="dxa"/>
          </w:tcPr>
          <w:p w14:paraId="1D624542" w14:textId="77777777" w:rsidR="00652100" w:rsidRPr="000A3E55" w:rsidRDefault="00652100" w:rsidP="00DA2B35">
            <w:pPr>
              <w:rPr>
                <w:b/>
              </w:rPr>
            </w:pPr>
          </w:p>
        </w:tc>
        <w:tc>
          <w:tcPr>
            <w:tcW w:w="850" w:type="dxa"/>
          </w:tcPr>
          <w:p w14:paraId="5E07A4DB" w14:textId="77777777" w:rsidR="00652100" w:rsidRPr="000A3E55" w:rsidRDefault="00652100" w:rsidP="00DA2B35">
            <w:pPr>
              <w:rPr>
                <w:b/>
              </w:rPr>
            </w:pPr>
          </w:p>
        </w:tc>
        <w:tc>
          <w:tcPr>
            <w:tcW w:w="851" w:type="dxa"/>
          </w:tcPr>
          <w:p w14:paraId="664C4205" w14:textId="77777777" w:rsidR="00652100" w:rsidRPr="000A3E55" w:rsidRDefault="00652100" w:rsidP="00DA2B35">
            <w:pPr>
              <w:rPr>
                <w:b/>
              </w:rPr>
            </w:pPr>
          </w:p>
        </w:tc>
        <w:tc>
          <w:tcPr>
            <w:tcW w:w="850" w:type="dxa"/>
          </w:tcPr>
          <w:p w14:paraId="168D9934" w14:textId="77777777" w:rsidR="00652100" w:rsidRPr="000A3E55" w:rsidRDefault="00652100" w:rsidP="00DA2B35">
            <w:pPr>
              <w:rPr>
                <w:b/>
              </w:rPr>
            </w:pPr>
          </w:p>
        </w:tc>
        <w:tc>
          <w:tcPr>
            <w:tcW w:w="1276" w:type="dxa"/>
          </w:tcPr>
          <w:p w14:paraId="513B1C22" w14:textId="77777777" w:rsidR="00652100" w:rsidRPr="000A3E55" w:rsidRDefault="00652100" w:rsidP="00DA2B35">
            <w:pPr>
              <w:rPr>
                <w:b/>
              </w:rPr>
            </w:pPr>
          </w:p>
        </w:tc>
      </w:tr>
      <w:tr w:rsidR="00652100" w:rsidRPr="000A3E55" w14:paraId="5D88241C" w14:textId="77777777" w:rsidTr="00363C71">
        <w:trPr>
          <w:trHeight w:val="628"/>
        </w:trPr>
        <w:tc>
          <w:tcPr>
            <w:tcW w:w="2178" w:type="dxa"/>
          </w:tcPr>
          <w:p w14:paraId="69D38CE2" w14:textId="77777777" w:rsidR="00652100" w:rsidRPr="000A3E55" w:rsidRDefault="00652100" w:rsidP="00DA2B35">
            <w:pPr>
              <w:rPr>
                <w:b/>
                <w:sz w:val="18"/>
                <w:szCs w:val="18"/>
              </w:rPr>
            </w:pPr>
            <w:r w:rsidRPr="000A3E55">
              <w:rPr>
                <w:b/>
                <w:sz w:val="18"/>
                <w:szCs w:val="18"/>
              </w:rPr>
              <w:t>8. Credit risk derivatives</w:t>
            </w:r>
          </w:p>
        </w:tc>
        <w:tc>
          <w:tcPr>
            <w:tcW w:w="1083" w:type="dxa"/>
          </w:tcPr>
          <w:p w14:paraId="73D0B428" w14:textId="77777777" w:rsidR="00652100" w:rsidRPr="000A3E55" w:rsidRDefault="00652100" w:rsidP="00DA2B35">
            <w:pPr>
              <w:rPr>
                <w:b/>
              </w:rPr>
            </w:pPr>
          </w:p>
        </w:tc>
        <w:tc>
          <w:tcPr>
            <w:tcW w:w="850" w:type="dxa"/>
          </w:tcPr>
          <w:p w14:paraId="289C5E9D" w14:textId="77777777" w:rsidR="00652100" w:rsidRPr="000A3E55" w:rsidRDefault="00652100" w:rsidP="00DA2B35">
            <w:pPr>
              <w:rPr>
                <w:b/>
              </w:rPr>
            </w:pPr>
          </w:p>
        </w:tc>
        <w:tc>
          <w:tcPr>
            <w:tcW w:w="851" w:type="dxa"/>
          </w:tcPr>
          <w:p w14:paraId="11E67F16" w14:textId="77777777" w:rsidR="00652100" w:rsidRPr="000A3E55" w:rsidRDefault="00652100" w:rsidP="00DA2B35">
            <w:pPr>
              <w:rPr>
                <w:b/>
              </w:rPr>
            </w:pPr>
          </w:p>
        </w:tc>
        <w:tc>
          <w:tcPr>
            <w:tcW w:w="850" w:type="dxa"/>
          </w:tcPr>
          <w:p w14:paraId="52A61E7F" w14:textId="77777777" w:rsidR="00652100" w:rsidRPr="000A3E55" w:rsidRDefault="00652100" w:rsidP="00DA2B35">
            <w:pPr>
              <w:rPr>
                <w:b/>
              </w:rPr>
            </w:pPr>
          </w:p>
        </w:tc>
        <w:tc>
          <w:tcPr>
            <w:tcW w:w="851" w:type="dxa"/>
          </w:tcPr>
          <w:p w14:paraId="49ECCE1F" w14:textId="77777777" w:rsidR="00652100" w:rsidRPr="000A3E55" w:rsidRDefault="00652100" w:rsidP="00DA2B35">
            <w:pPr>
              <w:rPr>
                <w:b/>
              </w:rPr>
            </w:pPr>
          </w:p>
        </w:tc>
        <w:tc>
          <w:tcPr>
            <w:tcW w:w="850" w:type="dxa"/>
          </w:tcPr>
          <w:p w14:paraId="1CAC48E4" w14:textId="77777777" w:rsidR="00652100" w:rsidRPr="000A3E55" w:rsidRDefault="00652100" w:rsidP="00DA2B35">
            <w:pPr>
              <w:rPr>
                <w:b/>
              </w:rPr>
            </w:pPr>
          </w:p>
        </w:tc>
        <w:tc>
          <w:tcPr>
            <w:tcW w:w="1276" w:type="dxa"/>
          </w:tcPr>
          <w:p w14:paraId="18750D33" w14:textId="77777777" w:rsidR="00652100" w:rsidRPr="000A3E55" w:rsidRDefault="00652100" w:rsidP="00DA2B35">
            <w:pPr>
              <w:rPr>
                <w:b/>
              </w:rPr>
            </w:pPr>
          </w:p>
        </w:tc>
      </w:tr>
      <w:tr w:rsidR="00652100" w:rsidRPr="000A3E55" w14:paraId="1062E78C" w14:textId="77777777" w:rsidTr="00363C71">
        <w:trPr>
          <w:trHeight w:val="565"/>
        </w:trPr>
        <w:tc>
          <w:tcPr>
            <w:tcW w:w="2178" w:type="dxa"/>
          </w:tcPr>
          <w:p w14:paraId="4ADE240F" w14:textId="77777777" w:rsidR="00652100" w:rsidRPr="000A3E55" w:rsidRDefault="00652100" w:rsidP="00DA2B35">
            <w:pPr>
              <w:rPr>
                <w:b/>
                <w:sz w:val="18"/>
                <w:szCs w:val="18"/>
              </w:rPr>
            </w:pPr>
            <w:r w:rsidRPr="000A3E55">
              <w:rPr>
                <w:b/>
                <w:sz w:val="18"/>
                <w:szCs w:val="18"/>
              </w:rPr>
              <w:t>9. Contracts for differences</w:t>
            </w:r>
          </w:p>
        </w:tc>
        <w:tc>
          <w:tcPr>
            <w:tcW w:w="1083" w:type="dxa"/>
          </w:tcPr>
          <w:p w14:paraId="471A1DC7" w14:textId="77777777" w:rsidR="00652100" w:rsidRPr="000A3E55" w:rsidRDefault="00652100" w:rsidP="00DA2B35">
            <w:pPr>
              <w:rPr>
                <w:b/>
              </w:rPr>
            </w:pPr>
          </w:p>
        </w:tc>
        <w:tc>
          <w:tcPr>
            <w:tcW w:w="850" w:type="dxa"/>
          </w:tcPr>
          <w:p w14:paraId="4FF53C53" w14:textId="77777777" w:rsidR="00652100" w:rsidRPr="000A3E55" w:rsidRDefault="00652100" w:rsidP="00DA2B35">
            <w:pPr>
              <w:rPr>
                <w:b/>
              </w:rPr>
            </w:pPr>
          </w:p>
        </w:tc>
        <w:tc>
          <w:tcPr>
            <w:tcW w:w="851" w:type="dxa"/>
          </w:tcPr>
          <w:p w14:paraId="0E181E9D" w14:textId="77777777" w:rsidR="00652100" w:rsidRPr="000A3E55" w:rsidRDefault="00652100" w:rsidP="00DA2B35">
            <w:pPr>
              <w:rPr>
                <w:b/>
              </w:rPr>
            </w:pPr>
          </w:p>
        </w:tc>
        <w:tc>
          <w:tcPr>
            <w:tcW w:w="850" w:type="dxa"/>
          </w:tcPr>
          <w:p w14:paraId="4E5B1412" w14:textId="77777777" w:rsidR="00652100" w:rsidRPr="000A3E55" w:rsidRDefault="00652100" w:rsidP="00DA2B35">
            <w:pPr>
              <w:rPr>
                <w:b/>
              </w:rPr>
            </w:pPr>
          </w:p>
        </w:tc>
        <w:tc>
          <w:tcPr>
            <w:tcW w:w="851" w:type="dxa"/>
          </w:tcPr>
          <w:p w14:paraId="171DE8BC" w14:textId="77777777" w:rsidR="00652100" w:rsidRPr="000A3E55" w:rsidRDefault="00652100" w:rsidP="00DA2B35">
            <w:pPr>
              <w:rPr>
                <w:b/>
              </w:rPr>
            </w:pPr>
          </w:p>
        </w:tc>
        <w:tc>
          <w:tcPr>
            <w:tcW w:w="850" w:type="dxa"/>
          </w:tcPr>
          <w:p w14:paraId="717620E0" w14:textId="77777777" w:rsidR="00652100" w:rsidRPr="000A3E55" w:rsidRDefault="00652100" w:rsidP="00DA2B35">
            <w:pPr>
              <w:rPr>
                <w:b/>
              </w:rPr>
            </w:pPr>
          </w:p>
        </w:tc>
        <w:tc>
          <w:tcPr>
            <w:tcW w:w="1276" w:type="dxa"/>
          </w:tcPr>
          <w:p w14:paraId="5BD83480" w14:textId="77777777" w:rsidR="00652100" w:rsidRPr="000A3E55" w:rsidRDefault="00652100" w:rsidP="00DA2B35">
            <w:pPr>
              <w:rPr>
                <w:b/>
              </w:rPr>
            </w:pPr>
          </w:p>
        </w:tc>
      </w:tr>
      <w:tr w:rsidR="00652100" w:rsidRPr="000A3E55" w14:paraId="426CFC0B" w14:textId="77777777" w:rsidTr="00363C71">
        <w:trPr>
          <w:trHeight w:val="560"/>
        </w:trPr>
        <w:tc>
          <w:tcPr>
            <w:tcW w:w="2178" w:type="dxa"/>
          </w:tcPr>
          <w:p w14:paraId="3D599F8E" w14:textId="77777777" w:rsidR="00652100" w:rsidRPr="000A3E55" w:rsidRDefault="00652100" w:rsidP="00DA2B35">
            <w:pPr>
              <w:rPr>
                <w:b/>
                <w:sz w:val="18"/>
                <w:szCs w:val="18"/>
              </w:rPr>
            </w:pPr>
            <w:r w:rsidRPr="000A3E55">
              <w:rPr>
                <w:b/>
                <w:sz w:val="18"/>
                <w:szCs w:val="18"/>
              </w:rPr>
              <w:t>10. Other derivatives contracts</w:t>
            </w:r>
          </w:p>
        </w:tc>
        <w:tc>
          <w:tcPr>
            <w:tcW w:w="1083" w:type="dxa"/>
          </w:tcPr>
          <w:p w14:paraId="324ADF2E" w14:textId="77777777" w:rsidR="00652100" w:rsidRPr="000A3E55" w:rsidRDefault="00652100" w:rsidP="00DA2B35">
            <w:pPr>
              <w:rPr>
                <w:b/>
              </w:rPr>
            </w:pPr>
          </w:p>
        </w:tc>
        <w:tc>
          <w:tcPr>
            <w:tcW w:w="850" w:type="dxa"/>
          </w:tcPr>
          <w:p w14:paraId="7D60C452" w14:textId="77777777" w:rsidR="00652100" w:rsidRPr="000A3E55" w:rsidRDefault="00652100" w:rsidP="00DA2B35">
            <w:pPr>
              <w:rPr>
                <w:b/>
              </w:rPr>
            </w:pPr>
          </w:p>
        </w:tc>
        <w:tc>
          <w:tcPr>
            <w:tcW w:w="851" w:type="dxa"/>
          </w:tcPr>
          <w:p w14:paraId="04586B1D" w14:textId="77777777" w:rsidR="00652100" w:rsidRPr="000A3E55" w:rsidRDefault="00652100" w:rsidP="00DA2B35">
            <w:pPr>
              <w:rPr>
                <w:b/>
              </w:rPr>
            </w:pPr>
          </w:p>
        </w:tc>
        <w:tc>
          <w:tcPr>
            <w:tcW w:w="850" w:type="dxa"/>
          </w:tcPr>
          <w:p w14:paraId="4F11EB9C" w14:textId="77777777" w:rsidR="00652100" w:rsidRPr="000A3E55" w:rsidRDefault="00652100" w:rsidP="00DA2B35">
            <w:pPr>
              <w:rPr>
                <w:b/>
              </w:rPr>
            </w:pPr>
          </w:p>
        </w:tc>
        <w:tc>
          <w:tcPr>
            <w:tcW w:w="851" w:type="dxa"/>
          </w:tcPr>
          <w:p w14:paraId="7D88A2B9" w14:textId="77777777" w:rsidR="00652100" w:rsidRPr="000A3E55" w:rsidRDefault="00652100" w:rsidP="00DA2B35">
            <w:pPr>
              <w:rPr>
                <w:b/>
              </w:rPr>
            </w:pPr>
          </w:p>
        </w:tc>
        <w:tc>
          <w:tcPr>
            <w:tcW w:w="850" w:type="dxa"/>
          </w:tcPr>
          <w:p w14:paraId="7DD7985A" w14:textId="77777777" w:rsidR="00652100" w:rsidRPr="000A3E55" w:rsidRDefault="00652100" w:rsidP="00DA2B35">
            <w:pPr>
              <w:rPr>
                <w:b/>
              </w:rPr>
            </w:pPr>
          </w:p>
        </w:tc>
        <w:tc>
          <w:tcPr>
            <w:tcW w:w="1276" w:type="dxa"/>
          </w:tcPr>
          <w:p w14:paraId="52FCAC5B" w14:textId="77777777" w:rsidR="00652100" w:rsidRPr="000A3E55" w:rsidRDefault="00652100" w:rsidP="00DA2B35">
            <w:pPr>
              <w:rPr>
                <w:b/>
              </w:rPr>
            </w:pPr>
          </w:p>
        </w:tc>
      </w:tr>
      <w:tr w:rsidR="00652100" w:rsidRPr="000A3E55" w14:paraId="5703F653" w14:textId="77777777" w:rsidTr="00363C71">
        <w:tc>
          <w:tcPr>
            <w:tcW w:w="2178" w:type="dxa"/>
          </w:tcPr>
          <w:p w14:paraId="6A0E1BCB" w14:textId="77777777" w:rsidR="00652100" w:rsidRPr="000A3E55" w:rsidRDefault="00652100" w:rsidP="00DA2B35">
            <w:pPr>
              <w:rPr>
                <w:b/>
                <w:sz w:val="18"/>
                <w:szCs w:val="18"/>
              </w:rPr>
            </w:pPr>
            <w:r w:rsidRPr="000A3E55">
              <w:rPr>
                <w:b/>
                <w:sz w:val="18"/>
                <w:szCs w:val="18"/>
              </w:rPr>
              <w:t>11. Emission allowances</w:t>
            </w:r>
          </w:p>
          <w:p w14:paraId="3A4D26DE" w14:textId="77777777" w:rsidR="00652100" w:rsidRPr="000A3E55" w:rsidRDefault="00652100" w:rsidP="00DA2B35">
            <w:pPr>
              <w:rPr>
                <w:b/>
                <w:sz w:val="18"/>
                <w:szCs w:val="18"/>
              </w:rPr>
            </w:pPr>
          </w:p>
          <w:p w14:paraId="3CD8F09C" w14:textId="77777777" w:rsidR="00652100" w:rsidRPr="000A3E55" w:rsidRDefault="00652100" w:rsidP="00DA2B35">
            <w:pPr>
              <w:rPr>
                <w:b/>
                <w:sz w:val="18"/>
                <w:szCs w:val="18"/>
              </w:rPr>
            </w:pPr>
          </w:p>
        </w:tc>
        <w:tc>
          <w:tcPr>
            <w:tcW w:w="1083" w:type="dxa"/>
          </w:tcPr>
          <w:p w14:paraId="699361F8" w14:textId="77777777" w:rsidR="00652100" w:rsidRPr="000A3E55" w:rsidRDefault="00652100" w:rsidP="00DA2B35">
            <w:pPr>
              <w:rPr>
                <w:b/>
              </w:rPr>
            </w:pPr>
          </w:p>
        </w:tc>
        <w:tc>
          <w:tcPr>
            <w:tcW w:w="850" w:type="dxa"/>
          </w:tcPr>
          <w:p w14:paraId="56224401" w14:textId="77777777" w:rsidR="00652100" w:rsidRPr="000A3E55" w:rsidRDefault="00652100" w:rsidP="00DA2B35">
            <w:pPr>
              <w:rPr>
                <w:b/>
              </w:rPr>
            </w:pPr>
          </w:p>
        </w:tc>
        <w:tc>
          <w:tcPr>
            <w:tcW w:w="851" w:type="dxa"/>
          </w:tcPr>
          <w:p w14:paraId="7B97BD31" w14:textId="77777777" w:rsidR="00652100" w:rsidRPr="000A3E55" w:rsidRDefault="00652100" w:rsidP="00DA2B35">
            <w:pPr>
              <w:rPr>
                <w:b/>
              </w:rPr>
            </w:pPr>
          </w:p>
        </w:tc>
        <w:tc>
          <w:tcPr>
            <w:tcW w:w="850" w:type="dxa"/>
          </w:tcPr>
          <w:p w14:paraId="0741F10C" w14:textId="77777777" w:rsidR="00652100" w:rsidRPr="000A3E55" w:rsidRDefault="00652100" w:rsidP="00DA2B35">
            <w:pPr>
              <w:rPr>
                <w:b/>
              </w:rPr>
            </w:pPr>
          </w:p>
        </w:tc>
        <w:tc>
          <w:tcPr>
            <w:tcW w:w="851" w:type="dxa"/>
          </w:tcPr>
          <w:p w14:paraId="07C910BC" w14:textId="77777777" w:rsidR="00652100" w:rsidRPr="000A3E55" w:rsidRDefault="00652100" w:rsidP="00DA2B35">
            <w:pPr>
              <w:rPr>
                <w:b/>
              </w:rPr>
            </w:pPr>
          </w:p>
        </w:tc>
        <w:tc>
          <w:tcPr>
            <w:tcW w:w="850" w:type="dxa"/>
          </w:tcPr>
          <w:p w14:paraId="4793B8B0" w14:textId="77777777" w:rsidR="00652100" w:rsidRPr="000A3E55" w:rsidRDefault="00652100" w:rsidP="00DA2B35">
            <w:pPr>
              <w:rPr>
                <w:b/>
              </w:rPr>
            </w:pPr>
          </w:p>
        </w:tc>
        <w:tc>
          <w:tcPr>
            <w:tcW w:w="1276" w:type="dxa"/>
          </w:tcPr>
          <w:p w14:paraId="09212137" w14:textId="77777777" w:rsidR="00652100" w:rsidRPr="000A3E55" w:rsidRDefault="00652100" w:rsidP="00DA2B35">
            <w:pPr>
              <w:rPr>
                <w:b/>
              </w:rPr>
            </w:pPr>
          </w:p>
        </w:tc>
      </w:tr>
    </w:tbl>
    <w:p w14:paraId="4E0DA299" w14:textId="77777777" w:rsidR="00966BB5" w:rsidRPr="000A3E55" w:rsidRDefault="00966BB5" w:rsidP="00A43D75">
      <w:pPr>
        <w:spacing w:after="0" w:line="240" w:lineRule="auto"/>
        <w:contextualSpacing/>
        <w:rPr>
          <w:rFonts w:eastAsia="Times New Roman" w:cs="Arial"/>
        </w:rPr>
      </w:pPr>
    </w:p>
    <w:p w14:paraId="7C239641" w14:textId="77777777" w:rsidR="00A43D75" w:rsidRPr="000A3E55" w:rsidRDefault="00A43D75" w:rsidP="00A43D75">
      <w:pPr>
        <w:spacing w:after="0" w:line="240" w:lineRule="auto"/>
        <w:contextualSpacing/>
        <w:rPr>
          <w:rFonts w:eastAsia="Times New Roman" w:cs="Arial"/>
        </w:rPr>
      </w:pPr>
      <w:r w:rsidRPr="000A3E55">
        <w:t>Does the firm apply the following work practices:</w:t>
      </w:r>
    </w:p>
    <w:p w14:paraId="7C48312C" w14:textId="77777777" w:rsidR="00C56FD3" w:rsidRPr="000A3E55" w:rsidRDefault="00C56FD3" w:rsidP="00C56FD3">
      <w:pPr>
        <w:numPr>
          <w:ilvl w:val="0"/>
          <w:numId w:val="9"/>
        </w:numPr>
        <w:spacing w:after="0" w:line="240" w:lineRule="auto"/>
        <w:contextualSpacing/>
        <w:rPr>
          <w:rFonts w:eastAsia="Times New Roman" w:cs="Arial"/>
        </w:rPr>
      </w:pPr>
      <w:r w:rsidRPr="000A3E55">
        <w:t>Offering of direct electronic access;</w:t>
      </w:r>
    </w:p>
    <w:p w14:paraId="78936509" w14:textId="2FBBF5FE" w:rsidR="00C56FD3" w:rsidRPr="000A3E55" w:rsidRDefault="00C56FD3" w:rsidP="00C56FD3">
      <w:pPr>
        <w:numPr>
          <w:ilvl w:val="0"/>
          <w:numId w:val="9"/>
        </w:numPr>
        <w:spacing w:after="0" w:line="240" w:lineRule="auto"/>
        <w:contextualSpacing/>
        <w:rPr>
          <w:rFonts w:eastAsia="Times New Roman" w:cs="Arial"/>
        </w:rPr>
      </w:pPr>
      <w:r w:rsidRPr="000A3E55">
        <w:t>The application of a system of high-frequency algorithm trading</w:t>
      </w:r>
      <w:r w:rsidR="007B3C63">
        <w:t>.</w:t>
      </w:r>
    </w:p>
    <w:p w14:paraId="4997F471" w14:textId="77777777" w:rsidR="00C56FD3" w:rsidRPr="000A3E55" w:rsidRDefault="00C56FD3" w:rsidP="003E2740">
      <w:pPr>
        <w:spacing w:after="0" w:line="240" w:lineRule="auto"/>
        <w:ind w:left="720"/>
        <w:contextualSpacing/>
        <w:rPr>
          <w:rFonts w:eastAsia="Times New Roman" w:cs="Arial"/>
        </w:rPr>
      </w:pPr>
    </w:p>
    <w:tbl>
      <w:tblPr>
        <w:tblW w:w="9641" w:type="dxa"/>
        <w:tblBorders>
          <w:top w:val="single" w:sz="12" w:space="0" w:color="008000"/>
          <w:bottom w:val="single" w:sz="12" w:space="0" w:color="008000"/>
        </w:tblBorders>
        <w:tblLayout w:type="fixed"/>
        <w:tblCellMar>
          <w:left w:w="0" w:type="dxa"/>
          <w:right w:w="0" w:type="dxa"/>
        </w:tblCellMar>
        <w:tblLook w:val="04A0" w:firstRow="1" w:lastRow="0" w:firstColumn="1" w:lastColumn="0" w:noHBand="0" w:noVBand="1"/>
      </w:tblPr>
      <w:tblGrid>
        <w:gridCol w:w="4678"/>
        <w:gridCol w:w="144"/>
        <w:gridCol w:w="4819"/>
      </w:tblGrid>
      <w:tr w:rsidR="00DB41CD" w:rsidRPr="000A3E55" w14:paraId="34F1C535" w14:textId="77777777" w:rsidTr="002C5F33">
        <w:tc>
          <w:tcPr>
            <w:tcW w:w="4678" w:type="dxa"/>
            <w:tcBorders>
              <w:top w:val="single" w:sz="4" w:space="0" w:color="auto"/>
              <w:left w:val="nil"/>
              <w:bottom w:val="single" w:sz="4" w:space="0" w:color="auto"/>
              <w:right w:val="nil"/>
            </w:tcBorders>
            <w:shd w:val="pct5" w:color="auto" w:fill="FFFFFF"/>
          </w:tcPr>
          <w:p w14:paraId="65897BB9" w14:textId="77777777" w:rsidR="00DB41CD" w:rsidRPr="000A3E55" w:rsidRDefault="00DB41CD" w:rsidP="00DB41CD">
            <w:pPr>
              <w:spacing w:after="0" w:line="240" w:lineRule="auto"/>
              <w:rPr>
                <w:rFonts w:ascii="Calibri" w:eastAsia="Times" w:hAnsi="Calibri" w:cs="Arial"/>
              </w:rPr>
            </w:pPr>
            <w:r w:rsidRPr="000A3E55">
              <w:rPr>
                <w:rFonts w:ascii="Calibri" w:hAnsi="Calibri"/>
              </w:rPr>
              <w:t>Does the firm</w:t>
            </w:r>
            <w:r w:rsidR="0078423B">
              <w:rPr>
                <w:rFonts w:ascii="Calibri" w:hAnsi="Calibri"/>
              </w:rPr>
              <w:t xml:space="preserve"> or the group the firm belongs to</w:t>
            </w:r>
            <w:r w:rsidRPr="000A3E55">
              <w:rPr>
                <w:rFonts w:ascii="Calibri" w:hAnsi="Calibri"/>
              </w:rPr>
              <w:t xml:space="preserve"> have </w:t>
            </w:r>
            <w:r w:rsidR="009C424D">
              <w:rPr>
                <w:rFonts w:ascii="Calibri" w:hAnsi="Calibri"/>
              </w:rPr>
              <w:t>(</w:t>
            </w:r>
            <w:r w:rsidRPr="000A3E55">
              <w:rPr>
                <w:rFonts w:ascii="Calibri" w:hAnsi="Calibri"/>
              </w:rPr>
              <w:t>other</w:t>
            </w:r>
            <w:r w:rsidR="009C424D">
              <w:rPr>
                <w:rFonts w:ascii="Calibri" w:hAnsi="Calibri"/>
              </w:rPr>
              <w:t>)</w:t>
            </w:r>
            <w:r w:rsidRPr="000A3E55">
              <w:rPr>
                <w:rFonts w:ascii="Calibri" w:hAnsi="Calibri"/>
              </w:rPr>
              <w:t xml:space="preserve"> branches in the Netherlands?</w:t>
            </w:r>
          </w:p>
          <w:p w14:paraId="665C5EE4" w14:textId="77777777" w:rsidR="00DB41CD" w:rsidRPr="000A3E55" w:rsidRDefault="00DB41CD" w:rsidP="00DB41CD">
            <w:pPr>
              <w:numPr>
                <w:ilvl w:val="0"/>
                <w:numId w:val="10"/>
              </w:numPr>
              <w:spacing w:after="0" w:line="240" w:lineRule="auto"/>
              <w:contextualSpacing/>
            </w:pPr>
            <w:r w:rsidRPr="000A3E55">
              <w:lastRenderedPageBreak/>
              <w:t>If yes, please indicate alongside the locations at which these branches are or will be operating</w:t>
            </w:r>
          </w:p>
          <w:p w14:paraId="00B1463F" w14:textId="77777777" w:rsidR="00DB41CD" w:rsidRPr="000A3E55" w:rsidRDefault="00DB41CD" w:rsidP="00DB41CD">
            <w:pPr>
              <w:numPr>
                <w:ilvl w:val="0"/>
                <w:numId w:val="10"/>
              </w:numPr>
              <w:spacing w:after="0" w:line="240" w:lineRule="auto"/>
              <w:contextualSpacing/>
            </w:pPr>
            <w:r w:rsidRPr="000A3E55">
              <w:t>No</w:t>
            </w:r>
          </w:p>
          <w:p w14:paraId="2BE08434" w14:textId="77777777" w:rsidR="00DB41CD" w:rsidRPr="000A3E55" w:rsidRDefault="00DB41CD" w:rsidP="00DB41CD">
            <w:pPr>
              <w:spacing w:after="0" w:line="240" w:lineRule="auto"/>
              <w:rPr>
                <w:rFonts w:ascii="Calibri" w:eastAsia="Times" w:hAnsi="Calibri" w:cs="Arial"/>
              </w:rPr>
            </w:pPr>
          </w:p>
        </w:tc>
        <w:tc>
          <w:tcPr>
            <w:tcW w:w="144" w:type="dxa"/>
            <w:tcBorders>
              <w:top w:val="single" w:sz="4" w:space="0" w:color="auto"/>
              <w:left w:val="nil"/>
              <w:bottom w:val="single" w:sz="4" w:space="0" w:color="auto"/>
              <w:right w:val="nil"/>
            </w:tcBorders>
            <w:shd w:val="pct12" w:color="auto" w:fill="FFFFFF"/>
          </w:tcPr>
          <w:p w14:paraId="5F3C83E6" w14:textId="77777777" w:rsidR="00DB41CD" w:rsidRPr="000A3E55" w:rsidRDefault="00DB41CD" w:rsidP="00DB41CD">
            <w:pPr>
              <w:spacing w:after="0" w:line="240" w:lineRule="auto"/>
              <w:rPr>
                <w:rFonts w:ascii="Calibri" w:eastAsia="Times New Roman" w:hAnsi="Calibri" w:cs="Arial"/>
                <w:color w:val="330066"/>
                <w:sz w:val="20"/>
                <w:szCs w:val="20"/>
              </w:rPr>
            </w:pPr>
          </w:p>
        </w:tc>
        <w:tc>
          <w:tcPr>
            <w:tcW w:w="4819" w:type="dxa"/>
            <w:tcBorders>
              <w:top w:val="single" w:sz="4" w:space="0" w:color="auto"/>
              <w:left w:val="nil"/>
              <w:bottom w:val="single" w:sz="4" w:space="0" w:color="auto"/>
              <w:right w:val="nil"/>
            </w:tcBorders>
          </w:tcPr>
          <w:p w14:paraId="2F9CFF10" w14:textId="77777777" w:rsidR="00DB41CD" w:rsidRPr="000A3E55" w:rsidRDefault="00DB41CD" w:rsidP="00DB41CD">
            <w:pPr>
              <w:rPr>
                <w:rFonts w:ascii="Calibri" w:eastAsia="Times New Roman" w:hAnsi="Calibri" w:cs="Arial"/>
                <w:color w:val="330066"/>
                <w:sz w:val="20"/>
                <w:szCs w:val="20"/>
              </w:rPr>
            </w:pPr>
          </w:p>
        </w:tc>
      </w:tr>
    </w:tbl>
    <w:p w14:paraId="5342B787" w14:textId="77777777" w:rsidR="00B83B0E" w:rsidRPr="000A3E55" w:rsidRDefault="00B83B0E" w:rsidP="00976070">
      <w:pPr>
        <w:contextualSpacing/>
        <w:rPr>
          <w:u w:val="single"/>
        </w:rPr>
      </w:pPr>
    </w:p>
    <w:p w14:paraId="41879D98" w14:textId="77777777" w:rsidR="00CC4047" w:rsidRDefault="00CC4047" w:rsidP="00B14965">
      <w:pPr>
        <w:contextualSpacing/>
        <w:rPr>
          <w:b/>
        </w:rPr>
      </w:pPr>
    </w:p>
    <w:p w14:paraId="0AB5AB1C" w14:textId="77777777" w:rsidR="00CC4047" w:rsidRDefault="00CC4047">
      <w:pPr>
        <w:rPr>
          <w:b/>
        </w:rPr>
      </w:pPr>
      <w:r>
        <w:rPr>
          <w:b/>
        </w:rPr>
        <w:br w:type="page"/>
      </w:r>
    </w:p>
    <w:p w14:paraId="7672114F" w14:textId="77777777" w:rsidR="00DB41CD" w:rsidRPr="000A3E55" w:rsidRDefault="00215E47" w:rsidP="00B14965">
      <w:pPr>
        <w:contextualSpacing/>
        <w:rPr>
          <w:b/>
        </w:rPr>
      </w:pPr>
      <w:r w:rsidRPr="000A3E55">
        <w:rPr>
          <w:b/>
        </w:rPr>
        <w:lastRenderedPageBreak/>
        <w:t>Annex 2 Information concern</w:t>
      </w:r>
      <w:r w:rsidR="00005FED">
        <w:rPr>
          <w:b/>
        </w:rPr>
        <w:t>ing capital (as referred to in a</w:t>
      </w:r>
      <w:r w:rsidRPr="000A3E55">
        <w:rPr>
          <w:b/>
        </w:rPr>
        <w:t xml:space="preserve">rticle 2 of </w:t>
      </w:r>
      <w:r w:rsidR="0049458B">
        <w:rPr>
          <w:b/>
        </w:rPr>
        <w:t>DR</w:t>
      </w:r>
      <w:r w:rsidRPr="000A3E55">
        <w:rPr>
          <w:b/>
        </w:rPr>
        <w:t xml:space="preserve"> 2017/1943)</w:t>
      </w:r>
      <w:r w:rsidR="001A1CE6">
        <w:rPr>
          <w:rStyle w:val="FootnoteReference"/>
          <w:b/>
        </w:rPr>
        <w:footnoteReference w:id="6"/>
      </w:r>
    </w:p>
    <w:p w14:paraId="110EF020" w14:textId="77777777" w:rsidR="00226BFC" w:rsidRPr="000A3E55" w:rsidRDefault="00226BFC" w:rsidP="00226BFC">
      <w:pPr>
        <w:tabs>
          <w:tab w:val="left" w:pos="284"/>
        </w:tabs>
        <w:spacing w:after="0" w:line="240" w:lineRule="auto"/>
        <w:outlineLvl w:val="0"/>
        <w:rPr>
          <w:rFonts w:ascii="Calibri" w:eastAsia="Times New Roman" w:hAnsi="Calibri" w:cs="Arial"/>
          <w:b/>
          <w:color w:val="330066"/>
          <w:sz w:val="20"/>
          <w:szCs w:val="20"/>
        </w:rPr>
      </w:pPr>
    </w:p>
    <w:p w14:paraId="051EA8D0" w14:textId="77777777" w:rsidR="00651BCA" w:rsidRPr="000A3E55" w:rsidRDefault="00651BCA" w:rsidP="00651BCA">
      <w:pPr>
        <w:pStyle w:val="ListParagraph"/>
      </w:pPr>
    </w:p>
    <w:tbl>
      <w:tblPr>
        <w:tblW w:w="9660" w:type="dxa"/>
        <w:tblBorders>
          <w:top w:val="single" w:sz="12" w:space="0" w:color="008000"/>
          <w:bottom w:val="single" w:sz="12" w:space="0" w:color="008000"/>
        </w:tblBorders>
        <w:tblLayout w:type="fixed"/>
        <w:tblCellMar>
          <w:left w:w="0" w:type="dxa"/>
          <w:right w:w="0" w:type="dxa"/>
        </w:tblCellMar>
        <w:tblLook w:val="04A0" w:firstRow="1" w:lastRow="0" w:firstColumn="1" w:lastColumn="0" w:noHBand="0" w:noVBand="1"/>
      </w:tblPr>
      <w:tblGrid>
        <w:gridCol w:w="4678"/>
        <w:gridCol w:w="144"/>
        <w:gridCol w:w="4819"/>
        <w:gridCol w:w="19"/>
      </w:tblGrid>
      <w:tr w:rsidR="00DB41CD" w:rsidRPr="000A3E55" w14:paraId="67CA34CF" w14:textId="77777777" w:rsidTr="00F01C69">
        <w:tc>
          <w:tcPr>
            <w:tcW w:w="4678" w:type="dxa"/>
            <w:tcBorders>
              <w:top w:val="single" w:sz="4" w:space="0" w:color="auto"/>
              <w:left w:val="nil"/>
              <w:bottom w:val="nil"/>
              <w:right w:val="nil"/>
            </w:tcBorders>
            <w:shd w:val="pct5" w:color="auto" w:fill="FFFFFF"/>
            <w:hideMark/>
          </w:tcPr>
          <w:p w14:paraId="043ED4FC" w14:textId="140DB98F" w:rsidR="00DB41CD" w:rsidRPr="000A3E55" w:rsidRDefault="00DB41CD" w:rsidP="00DB41CD">
            <w:pPr>
              <w:rPr>
                <w:b/>
                <w:i/>
              </w:rPr>
            </w:pPr>
            <w:r w:rsidRPr="000A3E55">
              <w:br w:type="page"/>
            </w:r>
            <w:r w:rsidRPr="000A3E55">
              <w:br w:type="page"/>
            </w:r>
            <w:r w:rsidRPr="000A3E55">
              <w:br w:type="page"/>
            </w:r>
            <w:r w:rsidRPr="000A3E55">
              <w:rPr>
                <w:rFonts w:ascii="Calibri" w:hAnsi="Calibri"/>
                <w:b/>
                <w:i/>
              </w:rPr>
              <w:t xml:space="preserve">The AFM requests </w:t>
            </w:r>
            <w:r w:rsidR="00073CBE">
              <w:rPr>
                <w:rFonts w:ascii="Calibri" w:hAnsi="Calibri"/>
                <w:b/>
                <w:i/>
              </w:rPr>
              <w:t xml:space="preserve">that </w:t>
            </w:r>
            <w:r w:rsidRPr="000A3E55">
              <w:rPr>
                <w:rFonts w:ascii="Calibri" w:hAnsi="Calibri"/>
                <w:b/>
                <w:i/>
              </w:rPr>
              <w:t>you indicate where the following information is included.</w:t>
            </w:r>
          </w:p>
          <w:p w14:paraId="797D7B78" w14:textId="77777777" w:rsidR="00DB41CD" w:rsidRPr="000A3E55" w:rsidRDefault="00DB41CD" w:rsidP="00DB41CD">
            <w:pPr>
              <w:spacing w:after="0" w:line="240" w:lineRule="auto"/>
              <w:rPr>
                <w:rFonts w:ascii="Calibri" w:eastAsia="Times" w:hAnsi="Calibri" w:cs="Arial"/>
                <w:b/>
                <w:bCs/>
                <w:i/>
                <w:color w:val="330066"/>
              </w:rPr>
            </w:pPr>
          </w:p>
        </w:tc>
        <w:tc>
          <w:tcPr>
            <w:tcW w:w="144" w:type="dxa"/>
            <w:tcBorders>
              <w:top w:val="single" w:sz="4" w:space="0" w:color="auto"/>
              <w:left w:val="nil"/>
              <w:bottom w:val="nil"/>
              <w:right w:val="nil"/>
            </w:tcBorders>
            <w:shd w:val="pct12" w:color="auto" w:fill="FFFFFF"/>
          </w:tcPr>
          <w:p w14:paraId="5DF6A613" w14:textId="77777777" w:rsidR="00DB41CD" w:rsidRPr="000A3E55" w:rsidRDefault="00DB41CD" w:rsidP="00DB41CD">
            <w:pPr>
              <w:spacing w:after="0" w:line="240" w:lineRule="auto"/>
              <w:rPr>
                <w:rFonts w:ascii="Calibri" w:eastAsia="Times New Roman" w:hAnsi="Calibri" w:cs="Arial"/>
                <w:b/>
                <w:i/>
                <w:color w:val="330066"/>
              </w:rPr>
            </w:pPr>
          </w:p>
        </w:tc>
        <w:tc>
          <w:tcPr>
            <w:tcW w:w="4838" w:type="dxa"/>
            <w:gridSpan w:val="2"/>
            <w:tcBorders>
              <w:top w:val="single" w:sz="4" w:space="0" w:color="auto"/>
              <w:left w:val="nil"/>
              <w:bottom w:val="nil"/>
              <w:right w:val="nil"/>
            </w:tcBorders>
            <w:hideMark/>
          </w:tcPr>
          <w:p w14:paraId="5A4E0DED" w14:textId="77777777" w:rsidR="00DB41CD" w:rsidRPr="000A3E55" w:rsidRDefault="00DB41CD" w:rsidP="00DB41CD">
            <w:pPr>
              <w:rPr>
                <w:b/>
                <w:i/>
              </w:rPr>
            </w:pPr>
            <w:r w:rsidRPr="000A3E55">
              <w:rPr>
                <w:b/>
                <w:i/>
              </w:rPr>
              <w:t>This information is included in the following enclosure(s) (please state the name(s) of the enclosure(s) and the relevant page numbers below):</w:t>
            </w:r>
          </w:p>
          <w:p w14:paraId="7F7933EE" w14:textId="77777777" w:rsidR="00DB41CD" w:rsidRPr="000A3E55" w:rsidRDefault="00DB41CD" w:rsidP="00DB41CD">
            <w:pPr>
              <w:tabs>
                <w:tab w:val="left" w:pos="426"/>
              </w:tabs>
              <w:spacing w:after="0" w:line="240" w:lineRule="auto"/>
              <w:outlineLvl w:val="0"/>
              <w:rPr>
                <w:rFonts w:ascii="Calibri" w:eastAsia="Times New Roman" w:hAnsi="Calibri" w:cs="Arial"/>
                <w:b/>
                <w:i/>
                <w:color w:val="330066"/>
              </w:rPr>
            </w:pPr>
          </w:p>
        </w:tc>
      </w:tr>
      <w:tr w:rsidR="00DB41CD" w:rsidRPr="000A3E55" w14:paraId="42F898D4" w14:textId="77777777" w:rsidTr="002C5F33">
        <w:trPr>
          <w:gridAfter w:val="1"/>
          <w:wAfter w:w="19" w:type="dxa"/>
        </w:trPr>
        <w:tc>
          <w:tcPr>
            <w:tcW w:w="4678" w:type="dxa"/>
            <w:tcBorders>
              <w:top w:val="single" w:sz="4" w:space="0" w:color="auto"/>
              <w:left w:val="nil"/>
              <w:bottom w:val="single" w:sz="4" w:space="0" w:color="auto"/>
              <w:right w:val="nil"/>
            </w:tcBorders>
            <w:shd w:val="pct5" w:color="auto" w:fill="FFFFFF"/>
          </w:tcPr>
          <w:p w14:paraId="5358D312" w14:textId="77777777" w:rsidR="00DB41CD" w:rsidRPr="000A3E55" w:rsidRDefault="00DB41CD" w:rsidP="00DB41CD">
            <w:r w:rsidRPr="000A3E55">
              <w:t>the use of pr</w:t>
            </w:r>
            <w:r w:rsidR="00005FED">
              <w:t>ivate financial resources (see a</w:t>
            </w:r>
            <w:r w:rsidRPr="000A3E55">
              <w:t xml:space="preserve">rticle 2(a) </w:t>
            </w:r>
            <w:r w:rsidR="0049458B">
              <w:t>DR</w:t>
            </w:r>
            <w:r w:rsidRPr="000A3E55">
              <w:t xml:space="preserve"> 2017/1943) </w:t>
            </w:r>
          </w:p>
          <w:p w14:paraId="11A64CA2" w14:textId="77777777" w:rsidR="00DB41CD" w:rsidRPr="000A3E55" w:rsidRDefault="00DB41CD" w:rsidP="00DB41CD">
            <w:pPr>
              <w:spacing w:after="0" w:line="240" w:lineRule="auto"/>
              <w:rPr>
                <w:rFonts w:ascii="Calibri" w:eastAsia="Times" w:hAnsi="Calibri" w:cs="Arial"/>
                <w:color w:val="330066"/>
              </w:rPr>
            </w:pPr>
          </w:p>
        </w:tc>
        <w:tc>
          <w:tcPr>
            <w:tcW w:w="144" w:type="dxa"/>
            <w:tcBorders>
              <w:top w:val="single" w:sz="4" w:space="0" w:color="auto"/>
              <w:left w:val="nil"/>
              <w:bottom w:val="single" w:sz="4" w:space="0" w:color="auto"/>
              <w:right w:val="nil"/>
            </w:tcBorders>
            <w:shd w:val="pct12" w:color="auto" w:fill="FFFFFF"/>
          </w:tcPr>
          <w:p w14:paraId="33D69654" w14:textId="77777777" w:rsidR="00DB41CD" w:rsidRPr="000A3E55" w:rsidRDefault="00DB41CD" w:rsidP="00DB41CD">
            <w:pPr>
              <w:spacing w:after="0" w:line="240" w:lineRule="auto"/>
              <w:rPr>
                <w:rFonts w:ascii="Calibri" w:eastAsia="Times New Roman" w:hAnsi="Calibri" w:cs="Arial"/>
                <w:color w:val="330066"/>
              </w:rPr>
            </w:pPr>
          </w:p>
        </w:tc>
        <w:tc>
          <w:tcPr>
            <w:tcW w:w="4819" w:type="dxa"/>
            <w:tcBorders>
              <w:top w:val="single" w:sz="4" w:space="0" w:color="auto"/>
              <w:left w:val="nil"/>
              <w:bottom w:val="single" w:sz="4" w:space="0" w:color="auto"/>
              <w:right w:val="nil"/>
            </w:tcBorders>
          </w:tcPr>
          <w:p w14:paraId="4A51E630" w14:textId="77777777" w:rsidR="00DB41CD" w:rsidRPr="000A3E55" w:rsidRDefault="00DB41CD" w:rsidP="00DB41CD">
            <w:pPr>
              <w:spacing w:after="0" w:line="240" w:lineRule="auto"/>
              <w:rPr>
                <w:rFonts w:ascii="Calibri" w:eastAsia="Times New Roman" w:hAnsi="Calibri" w:cs="Arial"/>
                <w:color w:val="330066"/>
              </w:rPr>
            </w:pPr>
          </w:p>
        </w:tc>
      </w:tr>
      <w:tr w:rsidR="00DB41CD" w:rsidRPr="000A3E55" w14:paraId="1F8FF673" w14:textId="77777777" w:rsidTr="002C5F33">
        <w:trPr>
          <w:gridAfter w:val="1"/>
          <w:wAfter w:w="19" w:type="dxa"/>
          <w:trHeight w:val="491"/>
        </w:trPr>
        <w:tc>
          <w:tcPr>
            <w:tcW w:w="4678" w:type="dxa"/>
            <w:tcBorders>
              <w:top w:val="single" w:sz="4" w:space="0" w:color="auto"/>
              <w:left w:val="nil"/>
              <w:bottom w:val="single" w:sz="4" w:space="0" w:color="auto"/>
              <w:right w:val="nil"/>
            </w:tcBorders>
            <w:shd w:val="pct5" w:color="auto" w:fill="FFFFFF"/>
          </w:tcPr>
          <w:p w14:paraId="560BCB3D" w14:textId="77777777" w:rsidR="00DB41CD" w:rsidRPr="000A3E55" w:rsidRDefault="00DB41CD" w:rsidP="00DB41CD">
            <w:r w:rsidRPr="000A3E55">
              <w:t>ac</w:t>
            </w:r>
            <w:r w:rsidR="00E36F11">
              <w:t xml:space="preserve">cess to capital sources and </w:t>
            </w:r>
            <w:r w:rsidR="00005FED">
              <w:t>financial markets (see a</w:t>
            </w:r>
            <w:r w:rsidRPr="000A3E55">
              <w:t xml:space="preserve">rticle 2(b) </w:t>
            </w:r>
            <w:r w:rsidR="0049458B">
              <w:t>DR</w:t>
            </w:r>
            <w:r w:rsidRPr="000A3E55">
              <w:t xml:space="preserve"> 2017/1943)</w:t>
            </w:r>
          </w:p>
        </w:tc>
        <w:tc>
          <w:tcPr>
            <w:tcW w:w="144" w:type="dxa"/>
            <w:tcBorders>
              <w:top w:val="single" w:sz="4" w:space="0" w:color="auto"/>
              <w:left w:val="nil"/>
              <w:bottom w:val="single" w:sz="4" w:space="0" w:color="auto"/>
              <w:right w:val="nil"/>
            </w:tcBorders>
            <w:shd w:val="pct12" w:color="auto" w:fill="FFFFFF"/>
          </w:tcPr>
          <w:p w14:paraId="1D80D547" w14:textId="77777777" w:rsidR="00DB41CD" w:rsidRPr="000A3E55" w:rsidRDefault="00DB41CD" w:rsidP="00DB41CD">
            <w:pPr>
              <w:spacing w:after="0" w:line="240" w:lineRule="auto"/>
              <w:rPr>
                <w:rFonts w:ascii="Calibri" w:eastAsia="Times New Roman" w:hAnsi="Calibri" w:cs="Arial"/>
                <w:color w:val="330066"/>
              </w:rPr>
            </w:pPr>
          </w:p>
        </w:tc>
        <w:tc>
          <w:tcPr>
            <w:tcW w:w="4819" w:type="dxa"/>
            <w:tcBorders>
              <w:top w:val="single" w:sz="4" w:space="0" w:color="auto"/>
              <w:left w:val="nil"/>
              <w:bottom w:val="single" w:sz="4" w:space="0" w:color="auto"/>
              <w:right w:val="nil"/>
            </w:tcBorders>
          </w:tcPr>
          <w:p w14:paraId="7282D0C4" w14:textId="77777777" w:rsidR="00DB41CD" w:rsidRPr="000A3E55" w:rsidRDefault="00DB41CD" w:rsidP="00DB41CD">
            <w:pPr>
              <w:spacing w:after="0" w:line="240" w:lineRule="auto"/>
              <w:rPr>
                <w:rFonts w:ascii="Calibri" w:eastAsia="Times New Roman" w:hAnsi="Calibri" w:cs="Arial"/>
                <w:color w:val="330066"/>
              </w:rPr>
            </w:pPr>
          </w:p>
        </w:tc>
      </w:tr>
      <w:tr w:rsidR="00DB41CD" w:rsidRPr="000A3E55" w14:paraId="064A60DD" w14:textId="77777777" w:rsidTr="002C5F33">
        <w:trPr>
          <w:gridAfter w:val="1"/>
          <w:wAfter w:w="19" w:type="dxa"/>
        </w:trPr>
        <w:tc>
          <w:tcPr>
            <w:tcW w:w="4678" w:type="dxa"/>
            <w:tcBorders>
              <w:top w:val="single" w:sz="4" w:space="0" w:color="auto"/>
              <w:left w:val="nil"/>
              <w:bottom w:val="single" w:sz="4" w:space="0" w:color="auto"/>
              <w:right w:val="nil"/>
            </w:tcBorders>
            <w:shd w:val="pct5" w:color="auto" w:fill="FFFFFF"/>
          </w:tcPr>
          <w:p w14:paraId="70EE6E5E" w14:textId="77777777" w:rsidR="00DB41CD" w:rsidRPr="000A3E55" w:rsidRDefault="00DB41CD" w:rsidP="00DB41CD">
            <w:r w:rsidRPr="000A3E55">
              <w:t xml:space="preserve">information on </w:t>
            </w:r>
            <w:r w:rsidR="00005FED">
              <w:t>the use of borrowed funds (see a</w:t>
            </w:r>
            <w:r w:rsidRPr="000A3E55">
              <w:t xml:space="preserve">rticle 2(d) </w:t>
            </w:r>
            <w:r w:rsidR="0049458B">
              <w:t>DR</w:t>
            </w:r>
            <w:r w:rsidRPr="000A3E55">
              <w:t xml:space="preserve"> 2017/1943)</w:t>
            </w:r>
          </w:p>
          <w:p w14:paraId="060D0F20" w14:textId="77777777" w:rsidR="00DB41CD" w:rsidRPr="000A3E55" w:rsidRDefault="00DB41CD" w:rsidP="00DB41CD">
            <w:pPr>
              <w:spacing w:after="0" w:line="240" w:lineRule="auto"/>
              <w:rPr>
                <w:rFonts w:ascii="Calibri" w:eastAsia="Times" w:hAnsi="Calibri" w:cs="Arial"/>
                <w:color w:val="330066"/>
              </w:rPr>
            </w:pPr>
          </w:p>
        </w:tc>
        <w:tc>
          <w:tcPr>
            <w:tcW w:w="144" w:type="dxa"/>
            <w:tcBorders>
              <w:top w:val="single" w:sz="4" w:space="0" w:color="auto"/>
              <w:left w:val="nil"/>
              <w:bottom w:val="single" w:sz="4" w:space="0" w:color="auto"/>
              <w:right w:val="nil"/>
            </w:tcBorders>
            <w:shd w:val="pct12" w:color="auto" w:fill="FFFFFF"/>
          </w:tcPr>
          <w:p w14:paraId="3E0A0595" w14:textId="77777777" w:rsidR="00DB41CD" w:rsidRPr="000A3E55" w:rsidRDefault="00DB41CD" w:rsidP="00DB41CD">
            <w:pPr>
              <w:spacing w:after="0" w:line="240" w:lineRule="auto"/>
              <w:rPr>
                <w:rFonts w:ascii="Calibri" w:eastAsia="Times New Roman" w:hAnsi="Calibri" w:cs="Arial"/>
                <w:color w:val="330066"/>
              </w:rPr>
            </w:pPr>
          </w:p>
        </w:tc>
        <w:tc>
          <w:tcPr>
            <w:tcW w:w="4819" w:type="dxa"/>
            <w:tcBorders>
              <w:top w:val="single" w:sz="4" w:space="0" w:color="auto"/>
              <w:left w:val="nil"/>
              <w:bottom w:val="single" w:sz="4" w:space="0" w:color="auto"/>
              <w:right w:val="nil"/>
            </w:tcBorders>
          </w:tcPr>
          <w:p w14:paraId="2184FF7F" w14:textId="77777777" w:rsidR="00DB41CD" w:rsidRPr="000A3E55" w:rsidRDefault="00DB41CD" w:rsidP="00DB41CD">
            <w:pPr>
              <w:spacing w:after="0" w:line="240" w:lineRule="auto"/>
              <w:rPr>
                <w:rFonts w:ascii="Calibri" w:eastAsia="Times New Roman" w:hAnsi="Calibri" w:cs="Arial"/>
                <w:color w:val="330066"/>
              </w:rPr>
            </w:pPr>
          </w:p>
        </w:tc>
      </w:tr>
      <w:tr w:rsidR="00DB41CD" w:rsidRPr="000A3E55" w14:paraId="63A9196F" w14:textId="77777777" w:rsidTr="009208D2">
        <w:trPr>
          <w:gridAfter w:val="1"/>
          <w:wAfter w:w="19" w:type="dxa"/>
          <w:trHeight w:val="1113"/>
        </w:trPr>
        <w:tc>
          <w:tcPr>
            <w:tcW w:w="4678" w:type="dxa"/>
            <w:tcBorders>
              <w:top w:val="single" w:sz="4" w:space="0" w:color="auto"/>
              <w:left w:val="nil"/>
              <w:bottom w:val="single" w:sz="4" w:space="0" w:color="auto"/>
              <w:right w:val="nil"/>
            </w:tcBorders>
            <w:shd w:val="pct5" w:color="auto" w:fill="FFFFFF"/>
          </w:tcPr>
          <w:p w14:paraId="6E72BAD3" w14:textId="77777777" w:rsidR="00DB41CD" w:rsidRPr="000A3E55" w:rsidRDefault="00DB41CD" w:rsidP="00DB41CD">
            <w:r w:rsidRPr="000A3E55">
              <w:t>the means of transferring financ</w:t>
            </w:r>
            <w:r w:rsidR="00005FED">
              <w:t>ial resources to the firm (see a</w:t>
            </w:r>
            <w:r w:rsidRPr="000A3E55">
              <w:t xml:space="preserve">rticle 2(e) </w:t>
            </w:r>
            <w:r w:rsidR="0049458B">
              <w:t>DR</w:t>
            </w:r>
            <w:r w:rsidRPr="000A3E55">
              <w:t xml:space="preserve"> 2017/1943)</w:t>
            </w:r>
          </w:p>
          <w:p w14:paraId="427627DD" w14:textId="77777777" w:rsidR="00DB41CD" w:rsidRPr="000A3E55" w:rsidRDefault="00DB41CD" w:rsidP="00DB41CD">
            <w:pPr>
              <w:spacing w:after="0" w:line="240" w:lineRule="auto"/>
              <w:rPr>
                <w:rFonts w:ascii="Calibri" w:eastAsia="Times" w:hAnsi="Calibri" w:cs="Arial"/>
                <w:color w:val="330066"/>
              </w:rPr>
            </w:pPr>
          </w:p>
        </w:tc>
        <w:tc>
          <w:tcPr>
            <w:tcW w:w="144" w:type="dxa"/>
            <w:tcBorders>
              <w:top w:val="single" w:sz="4" w:space="0" w:color="auto"/>
              <w:left w:val="nil"/>
              <w:bottom w:val="single" w:sz="4" w:space="0" w:color="auto"/>
              <w:right w:val="nil"/>
            </w:tcBorders>
            <w:shd w:val="pct12" w:color="auto" w:fill="FFFFFF"/>
          </w:tcPr>
          <w:p w14:paraId="49E422D3" w14:textId="77777777" w:rsidR="00DB41CD" w:rsidRPr="000A3E55" w:rsidRDefault="00DB41CD" w:rsidP="00DB41CD">
            <w:pPr>
              <w:spacing w:after="0" w:line="240" w:lineRule="auto"/>
              <w:rPr>
                <w:rFonts w:ascii="Calibri" w:eastAsia="Times New Roman" w:hAnsi="Calibri" w:cs="Arial"/>
                <w:color w:val="330066"/>
              </w:rPr>
            </w:pPr>
          </w:p>
        </w:tc>
        <w:tc>
          <w:tcPr>
            <w:tcW w:w="4819" w:type="dxa"/>
            <w:tcBorders>
              <w:top w:val="single" w:sz="4" w:space="0" w:color="auto"/>
              <w:left w:val="nil"/>
              <w:bottom w:val="single" w:sz="4" w:space="0" w:color="auto"/>
              <w:right w:val="nil"/>
            </w:tcBorders>
          </w:tcPr>
          <w:p w14:paraId="5018D4D0" w14:textId="77777777" w:rsidR="00DB41CD" w:rsidRPr="000A3E55" w:rsidRDefault="00DB41CD" w:rsidP="00DB41CD">
            <w:pPr>
              <w:spacing w:after="0" w:line="240" w:lineRule="auto"/>
              <w:rPr>
                <w:rFonts w:ascii="Calibri" w:eastAsia="Times New Roman" w:hAnsi="Calibri" w:cs="Arial"/>
                <w:color w:val="330066"/>
              </w:rPr>
            </w:pPr>
          </w:p>
        </w:tc>
      </w:tr>
      <w:tr w:rsidR="00DB41CD" w:rsidRPr="000A3E55" w14:paraId="12A701B6" w14:textId="77777777" w:rsidTr="002C5F33">
        <w:tc>
          <w:tcPr>
            <w:tcW w:w="4678" w:type="dxa"/>
            <w:tcBorders>
              <w:top w:val="single" w:sz="4" w:space="0" w:color="auto"/>
              <w:left w:val="nil"/>
              <w:bottom w:val="single" w:sz="4" w:space="0" w:color="auto"/>
              <w:right w:val="nil"/>
            </w:tcBorders>
            <w:shd w:val="pct5" w:color="auto" w:fill="FFFFFF"/>
          </w:tcPr>
          <w:p w14:paraId="6941AA69" w14:textId="77777777" w:rsidR="00DB41CD" w:rsidRPr="000A3E55" w:rsidRDefault="00DB41CD" w:rsidP="00DB41CD">
            <w:r w:rsidRPr="000A3E55">
              <w:t>relevant</w:t>
            </w:r>
            <w:r w:rsidR="00005FED">
              <w:t xml:space="preserve"> agreements and contracts (see a</w:t>
            </w:r>
            <w:r w:rsidRPr="000A3E55">
              <w:t xml:space="preserve">rticle 2(c) </w:t>
            </w:r>
            <w:r w:rsidR="0049458B">
              <w:t>DR</w:t>
            </w:r>
            <w:r w:rsidRPr="000A3E55">
              <w:t xml:space="preserve"> 2017/1943)</w:t>
            </w:r>
          </w:p>
          <w:p w14:paraId="17337E5A" w14:textId="77777777" w:rsidR="00DB41CD" w:rsidRPr="000A3E55" w:rsidRDefault="00DB41CD" w:rsidP="00DB41CD">
            <w:pPr>
              <w:spacing w:after="0" w:line="240" w:lineRule="auto"/>
              <w:rPr>
                <w:rFonts w:ascii="Calibri" w:eastAsia="Times" w:hAnsi="Calibri" w:cs="Arial"/>
                <w:color w:val="330066"/>
              </w:rPr>
            </w:pPr>
          </w:p>
          <w:p w14:paraId="2D82EE01" w14:textId="77777777" w:rsidR="00DB41CD" w:rsidRPr="000A3E55" w:rsidRDefault="00DB41CD" w:rsidP="00DB41CD">
            <w:pPr>
              <w:spacing w:after="0" w:line="240" w:lineRule="auto"/>
              <w:rPr>
                <w:rFonts w:ascii="Calibri" w:eastAsia="Times" w:hAnsi="Calibri" w:cs="Arial"/>
                <w:color w:val="330066"/>
              </w:rPr>
            </w:pPr>
          </w:p>
          <w:p w14:paraId="12F175C1" w14:textId="77777777" w:rsidR="00DB41CD" w:rsidRPr="000A3E55" w:rsidRDefault="00DB41CD" w:rsidP="00DB41CD">
            <w:pPr>
              <w:spacing w:after="0" w:line="240" w:lineRule="auto"/>
              <w:rPr>
                <w:rFonts w:ascii="Calibri" w:eastAsia="Times" w:hAnsi="Calibri" w:cs="Arial"/>
                <w:color w:val="330066"/>
              </w:rPr>
            </w:pPr>
          </w:p>
          <w:p w14:paraId="543F3B56" w14:textId="77777777" w:rsidR="00DB41CD" w:rsidRPr="000A3E55" w:rsidRDefault="00DB41CD" w:rsidP="00DB41CD">
            <w:pPr>
              <w:spacing w:after="0" w:line="240" w:lineRule="auto"/>
              <w:rPr>
                <w:rFonts w:ascii="Calibri" w:eastAsia="Times" w:hAnsi="Calibri" w:cs="Arial"/>
                <w:color w:val="330066"/>
              </w:rPr>
            </w:pPr>
          </w:p>
        </w:tc>
        <w:tc>
          <w:tcPr>
            <w:tcW w:w="144" w:type="dxa"/>
            <w:tcBorders>
              <w:top w:val="single" w:sz="4" w:space="0" w:color="auto"/>
              <w:left w:val="nil"/>
              <w:bottom w:val="single" w:sz="4" w:space="0" w:color="auto"/>
              <w:right w:val="nil"/>
            </w:tcBorders>
            <w:shd w:val="pct12" w:color="auto" w:fill="FFFFFF"/>
          </w:tcPr>
          <w:p w14:paraId="18D4445C" w14:textId="77777777" w:rsidR="00DB41CD" w:rsidRPr="000A3E55" w:rsidRDefault="00DB41CD" w:rsidP="00DB41CD">
            <w:pPr>
              <w:spacing w:after="0" w:line="240" w:lineRule="auto"/>
              <w:rPr>
                <w:rFonts w:ascii="Calibri" w:eastAsia="Times New Roman" w:hAnsi="Calibri" w:cs="Arial"/>
                <w:color w:val="330066"/>
              </w:rPr>
            </w:pPr>
          </w:p>
        </w:tc>
        <w:tc>
          <w:tcPr>
            <w:tcW w:w="4819" w:type="dxa"/>
            <w:gridSpan w:val="2"/>
            <w:tcBorders>
              <w:top w:val="single" w:sz="4" w:space="0" w:color="auto"/>
              <w:left w:val="nil"/>
              <w:bottom w:val="single" w:sz="4" w:space="0" w:color="auto"/>
              <w:right w:val="nil"/>
            </w:tcBorders>
          </w:tcPr>
          <w:p w14:paraId="224F4967" w14:textId="77777777" w:rsidR="00DB41CD" w:rsidRPr="000A3E55" w:rsidRDefault="00DB41CD" w:rsidP="00DB41CD">
            <w:r w:rsidRPr="000A3E55">
              <w:t>The following agreements and contracts are enclosed (please state the name(s) of the enclosure(s) here):</w:t>
            </w:r>
          </w:p>
          <w:p w14:paraId="56BFAEF0" w14:textId="77777777" w:rsidR="00DB41CD" w:rsidRPr="000A3E55" w:rsidRDefault="00DB41CD" w:rsidP="00DB41CD">
            <w:pPr>
              <w:spacing w:after="0" w:line="240" w:lineRule="auto"/>
              <w:rPr>
                <w:rFonts w:ascii="Calibri" w:eastAsia="Times New Roman" w:hAnsi="Calibri" w:cs="Arial"/>
                <w:color w:val="330066"/>
              </w:rPr>
            </w:pPr>
          </w:p>
        </w:tc>
      </w:tr>
    </w:tbl>
    <w:p w14:paraId="2BF95266" w14:textId="77777777" w:rsidR="00215E47" w:rsidRPr="000A3E55" w:rsidRDefault="00215E47">
      <w:pPr>
        <w:rPr>
          <w:rFonts w:ascii="Calibri" w:eastAsia="Times New Roman" w:hAnsi="Calibri" w:cs="Arial"/>
          <w:b/>
          <w:bCs/>
          <w:color w:val="330066"/>
        </w:rPr>
      </w:pPr>
      <w:r w:rsidRPr="000A3E55">
        <w:br w:type="page"/>
      </w:r>
    </w:p>
    <w:p w14:paraId="65889857" w14:textId="77777777" w:rsidR="00DB41CD" w:rsidRPr="000A3E55" w:rsidRDefault="00997128" w:rsidP="00B14965">
      <w:pPr>
        <w:ind w:left="284"/>
        <w:contextualSpacing/>
        <w:rPr>
          <w:b/>
        </w:rPr>
      </w:pPr>
      <w:r>
        <w:rPr>
          <w:b/>
        </w:rPr>
        <w:lastRenderedPageBreak/>
        <w:t>Annex 3</w:t>
      </w:r>
      <w:r w:rsidR="00215E47" w:rsidRPr="000A3E55">
        <w:rPr>
          <w:b/>
        </w:rPr>
        <w:t>: Information concern</w:t>
      </w:r>
      <w:r w:rsidR="00D378C6">
        <w:rPr>
          <w:b/>
        </w:rPr>
        <w:t xml:space="preserve">ing </w:t>
      </w:r>
      <w:r w:rsidR="00094BA5">
        <w:rPr>
          <w:b/>
        </w:rPr>
        <w:t xml:space="preserve">daily policy makers, co-policy makers and supervisory directors </w:t>
      </w:r>
      <w:r w:rsidR="00005FED">
        <w:rPr>
          <w:b/>
        </w:rPr>
        <w:t>(as referred to in a</w:t>
      </w:r>
      <w:r w:rsidR="00215E47" w:rsidRPr="000A3E55">
        <w:rPr>
          <w:b/>
        </w:rPr>
        <w:t xml:space="preserve">rticle 4 of </w:t>
      </w:r>
      <w:r w:rsidR="0049458B">
        <w:rPr>
          <w:b/>
        </w:rPr>
        <w:t>DR</w:t>
      </w:r>
      <w:r w:rsidR="00215E47" w:rsidRPr="000A3E55">
        <w:rPr>
          <w:b/>
        </w:rPr>
        <w:t xml:space="preserve"> 2017/1943</w:t>
      </w:r>
      <w:r w:rsidR="00094BA5">
        <w:rPr>
          <w:b/>
        </w:rPr>
        <w:t xml:space="preserve"> and article 4:9 and 4:10 </w:t>
      </w:r>
      <w:proofErr w:type="spellStart"/>
      <w:r w:rsidR="00094BA5">
        <w:rPr>
          <w:b/>
        </w:rPr>
        <w:t>Wft</w:t>
      </w:r>
      <w:proofErr w:type="spellEnd"/>
      <w:r w:rsidR="00215E47" w:rsidRPr="000A3E55">
        <w:rPr>
          <w:b/>
        </w:rPr>
        <w:t>)</w:t>
      </w:r>
    </w:p>
    <w:p w14:paraId="44492137" w14:textId="77777777" w:rsidR="001946E6" w:rsidRDefault="001946E6" w:rsidP="001946E6">
      <w:pPr>
        <w:contextualSpacing/>
        <w:rPr>
          <w:sz w:val="20"/>
          <w:szCs w:val="20"/>
          <w:u w:val="single"/>
        </w:rPr>
      </w:pPr>
    </w:p>
    <w:p w14:paraId="448C0C21" w14:textId="77777777" w:rsidR="00756D18" w:rsidRPr="0078423B" w:rsidRDefault="00FE06BA" w:rsidP="001946E6">
      <w:r w:rsidRPr="0078423B">
        <w:t xml:space="preserve">The following persons qualify as members of the management body or managing the branch office, or any other qualification under article 4:9 and 4:10 </w:t>
      </w:r>
      <w:proofErr w:type="spellStart"/>
      <w:r w:rsidRPr="0078423B">
        <w:t>Wft</w:t>
      </w:r>
      <w:proofErr w:type="spellEnd"/>
      <w:r w:rsidRPr="0078423B">
        <w:t>.</w:t>
      </w:r>
      <w:r w:rsidR="00617E71" w:rsidRPr="0078423B">
        <w:t xml:space="preserve"> If there are more than 2 persons, please provide a separate list of persons.</w:t>
      </w:r>
    </w:p>
    <w:p w14:paraId="4BBA1CF6" w14:textId="77777777" w:rsidR="00DB41CD" w:rsidRPr="000A3E55" w:rsidRDefault="00DB41CD" w:rsidP="00DB41CD">
      <w:pPr>
        <w:spacing w:after="0" w:line="240" w:lineRule="auto"/>
        <w:rPr>
          <w:rFonts w:eastAsia="Times New Roman" w:cs="Arial"/>
          <w:b/>
          <w:bCs/>
          <w:color w:val="330066"/>
        </w:rPr>
      </w:pPr>
    </w:p>
    <w:tbl>
      <w:tblPr>
        <w:tblW w:w="9660" w:type="dxa"/>
        <w:tblBorders>
          <w:top w:val="single" w:sz="12" w:space="0" w:color="008000"/>
          <w:bottom w:val="single" w:sz="12" w:space="0" w:color="008000"/>
        </w:tblBorders>
        <w:tblLayout w:type="fixed"/>
        <w:tblCellMar>
          <w:left w:w="0" w:type="dxa"/>
          <w:right w:w="0" w:type="dxa"/>
        </w:tblCellMar>
        <w:tblLook w:val="04A0" w:firstRow="1" w:lastRow="0" w:firstColumn="1" w:lastColumn="0" w:noHBand="0" w:noVBand="1"/>
      </w:tblPr>
      <w:tblGrid>
        <w:gridCol w:w="4678"/>
        <w:gridCol w:w="144"/>
        <w:gridCol w:w="4819"/>
        <w:gridCol w:w="19"/>
      </w:tblGrid>
      <w:tr w:rsidR="001A7792" w:rsidRPr="000A3E55" w14:paraId="121E9ED7" w14:textId="77777777" w:rsidTr="00803FB9">
        <w:tc>
          <w:tcPr>
            <w:tcW w:w="4678" w:type="dxa"/>
            <w:tcBorders>
              <w:top w:val="single" w:sz="4" w:space="0" w:color="auto"/>
              <w:left w:val="nil"/>
              <w:bottom w:val="single" w:sz="4" w:space="0" w:color="auto"/>
              <w:right w:val="nil"/>
            </w:tcBorders>
            <w:shd w:val="pct5" w:color="auto" w:fill="FFFFFF"/>
          </w:tcPr>
          <w:p w14:paraId="3DF5F471" w14:textId="77777777" w:rsidR="001A7792" w:rsidRPr="00617E71" w:rsidRDefault="001A7792" w:rsidP="001A7792">
            <w:pPr>
              <w:rPr>
                <w:rFonts w:ascii="Calibri" w:hAnsi="Calibri"/>
                <w:b/>
                <w:i/>
              </w:rPr>
            </w:pPr>
            <w:r w:rsidRPr="000A3E55">
              <w:br w:type="page"/>
            </w:r>
            <w:r w:rsidRPr="000A3E55">
              <w:br w:type="page"/>
            </w:r>
            <w:r w:rsidRPr="000A3E55">
              <w:br w:type="page"/>
            </w:r>
            <w:r w:rsidR="00617E71">
              <w:rPr>
                <w:rFonts w:ascii="Calibri" w:hAnsi="Calibri"/>
                <w:b/>
                <w:i/>
              </w:rPr>
              <w:t xml:space="preserve"> </w:t>
            </w:r>
            <w:r>
              <w:rPr>
                <w:rFonts w:ascii="Calibri" w:hAnsi="Calibri"/>
                <w:b/>
                <w:i/>
              </w:rPr>
              <w:t xml:space="preserve">If the application refers to article 2:99a </w:t>
            </w:r>
            <w:proofErr w:type="spellStart"/>
            <w:r>
              <w:rPr>
                <w:rFonts w:ascii="Calibri" w:hAnsi="Calibri"/>
                <w:b/>
                <w:i/>
              </w:rPr>
              <w:t>Wft</w:t>
            </w:r>
            <w:proofErr w:type="spellEnd"/>
            <w:r>
              <w:rPr>
                <w:rFonts w:ascii="Calibri" w:hAnsi="Calibri"/>
                <w:b/>
                <w:i/>
              </w:rPr>
              <w:t>, the information regards persons relevant to the branch office. Besides the management of the branch office, this will likely include persons in the management body of the head office.</w:t>
            </w:r>
          </w:p>
        </w:tc>
        <w:tc>
          <w:tcPr>
            <w:tcW w:w="144" w:type="dxa"/>
            <w:tcBorders>
              <w:top w:val="single" w:sz="4" w:space="0" w:color="auto"/>
              <w:left w:val="nil"/>
              <w:bottom w:val="single" w:sz="4" w:space="0" w:color="auto"/>
              <w:right w:val="nil"/>
            </w:tcBorders>
            <w:shd w:val="pct12" w:color="auto" w:fill="FFFFFF"/>
          </w:tcPr>
          <w:p w14:paraId="1FAF5C2F" w14:textId="77777777" w:rsidR="001A7792" w:rsidRPr="000A3E55" w:rsidRDefault="001A7792" w:rsidP="001A7792">
            <w:pPr>
              <w:spacing w:after="0" w:line="240" w:lineRule="auto"/>
              <w:rPr>
                <w:rFonts w:eastAsia="Times New Roman" w:cs="Arial"/>
                <w:b/>
                <w:i/>
                <w:color w:val="330066"/>
              </w:rPr>
            </w:pPr>
          </w:p>
        </w:tc>
        <w:tc>
          <w:tcPr>
            <w:tcW w:w="4838" w:type="dxa"/>
            <w:gridSpan w:val="2"/>
            <w:tcBorders>
              <w:top w:val="single" w:sz="4" w:space="0" w:color="auto"/>
              <w:left w:val="nil"/>
              <w:bottom w:val="single" w:sz="4" w:space="0" w:color="auto"/>
              <w:right w:val="nil"/>
            </w:tcBorders>
          </w:tcPr>
          <w:p w14:paraId="25703557" w14:textId="77777777" w:rsidR="001A7792" w:rsidRPr="000A3E55" w:rsidRDefault="001A7792" w:rsidP="001A7792">
            <w:pPr>
              <w:rPr>
                <w:b/>
                <w:i/>
              </w:rPr>
            </w:pPr>
            <w:r>
              <w:rPr>
                <w:b/>
                <w:i/>
              </w:rPr>
              <w:t>Please fill out the answers in this column</w:t>
            </w:r>
            <w:r w:rsidRPr="000A3E55">
              <w:rPr>
                <w:b/>
                <w:i/>
              </w:rPr>
              <w:t>:</w:t>
            </w:r>
          </w:p>
          <w:p w14:paraId="5CBB2245" w14:textId="77777777" w:rsidR="001A7792" w:rsidRPr="000A3E55" w:rsidRDefault="001A7792" w:rsidP="001A7792">
            <w:pPr>
              <w:rPr>
                <w:b/>
                <w:i/>
              </w:rPr>
            </w:pPr>
          </w:p>
        </w:tc>
      </w:tr>
      <w:tr w:rsidR="001A7792" w:rsidRPr="000A3E55" w14:paraId="2946D642" w14:textId="77777777" w:rsidTr="00803FB9">
        <w:tc>
          <w:tcPr>
            <w:tcW w:w="4678" w:type="dxa"/>
            <w:tcBorders>
              <w:top w:val="single" w:sz="4" w:space="0" w:color="auto"/>
              <w:left w:val="nil"/>
              <w:bottom w:val="single" w:sz="4" w:space="0" w:color="auto"/>
              <w:right w:val="nil"/>
            </w:tcBorders>
            <w:shd w:val="pct5" w:color="auto" w:fill="FFFFFF"/>
          </w:tcPr>
          <w:p w14:paraId="3BC0558E" w14:textId="77777777" w:rsidR="001A7792" w:rsidRPr="001A7792" w:rsidRDefault="001A7792" w:rsidP="001A7792">
            <w:pPr>
              <w:rPr>
                <w:b/>
                <w:i/>
              </w:rPr>
            </w:pPr>
            <w:r w:rsidRPr="001A7792">
              <w:rPr>
                <w:b/>
                <w:i/>
              </w:rPr>
              <w:t>Person 1</w:t>
            </w:r>
          </w:p>
        </w:tc>
        <w:tc>
          <w:tcPr>
            <w:tcW w:w="144" w:type="dxa"/>
            <w:tcBorders>
              <w:top w:val="single" w:sz="4" w:space="0" w:color="auto"/>
              <w:left w:val="nil"/>
              <w:bottom w:val="single" w:sz="4" w:space="0" w:color="auto"/>
              <w:right w:val="nil"/>
            </w:tcBorders>
            <w:shd w:val="pct12" w:color="auto" w:fill="FFFFFF"/>
          </w:tcPr>
          <w:p w14:paraId="5C9EEBF2" w14:textId="77777777" w:rsidR="001A7792" w:rsidRPr="000A3E55" w:rsidRDefault="001A7792" w:rsidP="001A7792">
            <w:pPr>
              <w:spacing w:after="0" w:line="240" w:lineRule="auto"/>
              <w:rPr>
                <w:rFonts w:eastAsia="Times New Roman" w:cs="Arial"/>
                <w:b/>
                <w:i/>
                <w:color w:val="330066"/>
              </w:rPr>
            </w:pPr>
          </w:p>
        </w:tc>
        <w:tc>
          <w:tcPr>
            <w:tcW w:w="4838" w:type="dxa"/>
            <w:gridSpan w:val="2"/>
            <w:tcBorders>
              <w:top w:val="single" w:sz="4" w:space="0" w:color="auto"/>
              <w:left w:val="nil"/>
              <w:bottom w:val="single" w:sz="4" w:space="0" w:color="auto"/>
              <w:right w:val="nil"/>
            </w:tcBorders>
          </w:tcPr>
          <w:p w14:paraId="57CE8811" w14:textId="77777777" w:rsidR="001A7792" w:rsidRPr="000A3E55" w:rsidRDefault="001A7792" w:rsidP="001A7792">
            <w:pPr>
              <w:rPr>
                <w:b/>
                <w:i/>
              </w:rPr>
            </w:pPr>
          </w:p>
        </w:tc>
      </w:tr>
      <w:tr w:rsidR="001A7792" w:rsidRPr="000A3E55" w14:paraId="4BA2A68D" w14:textId="77777777" w:rsidTr="00803FB9">
        <w:tc>
          <w:tcPr>
            <w:tcW w:w="4678" w:type="dxa"/>
            <w:tcBorders>
              <w:top w:val="single" w:sz="4" w:space="0" w:color="auto"/>
              <w:left w:val="nil"/>
              <w:bottom w:val="single" w:sz="4" w:space="0" w:color="auto"/>
              <w:right w:val="nil"/>
            </w:tcBorders>
            <w:shd w:val="pct5" w:color="auto" w:fill="FFFFFF"/>
          </w:tcPr>
          <w:p w14:paraId="1D9672E7" w14:textId="77777777" w:rsidR="001A7792" w:rsidRPr="000A3E55" w:rsidRDefault="001A7792" w:rsidP="001A7792">
            <w:r w:rsidRPr="00FE06BA">
              <w:t>Name</w:t>
            </w:r>
          </w:p>
        </w:tc>
        <w:tc>
          <w:tcPr>
            <w:tcW w:w="144" w:type="dxa"/>
            <w:tcBorders>
              <w:top w:val="single" w:sz="4" w:space="0" w:color="auto"/>
              <w:left w:val="nil"/>
              <w:bottom w:val="single" w:sz="4" w:space="0" w:color="auto"/>
              <w:right w:val="nil"/>
            </w:tcBorders>
            <w:shd w:val="pct12" w:color="auto" w:fill="FFFFFF"/>
          </w:tcPr>
          <w:p w14:paraId="2FC2C1FD" w14:textId="77777777" w:rsidR="001A7792" w:rsidRPr="000A3E55" w:rsidRDefault="001A7792" w:rsidP="001A7792">
            <w:pPr>
              <w:spacing w:after="0" w:line="240" w:lineRule="auto"/>
              <w:rPr>
                <w:rFonts w:eastAsia="Times New Roman" w:cs="Arial"/>
                <w:b/>
                <w:i/>
                <w:color w:val="330066"/>
              </w:rPr>
            </w:pPr>
          </w:p>
        </w:tc>
        <w:tc>
          <w:tcPr>
            <w:tcW w:w="4838" w:type="dxa"/>
            <w:gridSpan w:val="2"/>
            <w:tcBorders>
              <w:top w:val="single" w:sz="4" w:space="0" w:color="auto"/>
              <w:left w:val="nil"/>
              <w:bottom w:val="single" w:sz="4" w:space="0" w:color="auto"/>
              <w:right w:val="nil"/>
            </w:tcBorders>
          </w:tcPr>
          <w:p w14:paraId="5D98D7FB" w14:textId="77777777" w:rsidR="001A7792" w:rsidRPr="000A3E55" w:rsidRDefault="001A7792" w:rsidP="001A7792">
            <w:pPr>
              <w:rPr>
                <w:b/>
                <w:i/>
              </w:rPr>
            </w:pPr>
          </w:p>
        </w:tc>
      </w:tr>
      <w:tr w:rsidR="001A7792" w:rsidRPr="000A3E55" w14:paraId="34B472B4" w14:textId="77777777" w:rsidTr="00803FB9">
        <w:tc>
          <w:tcPr>
            <w:tcW w:w="4678" w:type="dxa"/>
            <w:tcBorders>
              <w:top w:val="single" w:sz="4" w:space="0" w:color="auto"/>
              <w:left w:val="nil"/>
              <w:bottom w:val="single" w:sz="4" w:space="0" w:color="auto"/>
              <w:right w:val="nil"/>
            </w:tcBorders>
            <w:shd w:val="pct5" w:color="auto" w:fill="FFFFFF"/>
          </w:tcPr>
          <w:p w14:paraId="39DC5E6B" w14:textId="77777777" w:rsidR="001A7792" w:rsidRPr="000A3E55" w:rsidRDefault="001A7792" w:rsidP="001A7792">
            <w:r w:rsidRPr="00FE06BA">
              <w:t>Contact details</w:t>
            </w:r>
          </w:p>
        </w:tc>
        <w:tc>
          <w:tcPr>
            <w:tcW w:w="144" w:type="dxa"/>
            <w:tcBorders>
              <w:top w:val="single" w:sz="4" w:space="0" w:color="auto"/>
              <w:left w:val="nil"/>
              <w:bottom w:val="single" w:sz="4" w:space="0" w:color="auto"/>
              <w:right w:val="nil"/>
            </w:tcBorders>
            <w:shd w:val="pct12" w:color="auto" w:fill="FFFFFF"/>
          </w:tcPr>
          <w:p w14:paraId="561EF7A0" w14:textId="77777777" w:rsidR="001A7792" w:rsidRPr="000A3E55" w:rsidRDefault="001A7792" w:rsidP="001A7792">
            <w:pPr>
              <w:spacing w:after="0" w:line="240" w:lineRule="auto"/>
              <w:rPr>
                <w:rFonts w:eastAsia="Times New Roman" w:cs="Arial"/>
                <w:b/>
                <w:i/>
                <w:color w:val="330066"/>
              </w:rPr>
            </w:pPr>
          </w:p>
        </w:tc>
        <w:tc>
          <w:tcPr>
            <w:tcW w:w="4838" w:type="dxa"/>
            <w:gridSpan w:val="2"/>
            <w:tcBorders>
              <w:top w:val="single" w:sz="4" w:space="0" w:color="auto"/>
              <w:left w:val="nil"/>
              <w:bottom w:val="single" w:sz="4" w:space="0" w:color="auto"/>
              <w:right w:val="nil"/>
            </w:tcBorders>
          </w:tcPr>
          <w:p w14:paraId="7D0E9D46" w14:textId="77777777" w:rsidR="001A7792" w:rsidRPr="000A3E55" w:rsidRDefault="001A7792" w:rsidP="001A7792">
            <w:pPr>
              <w:rPr>
                <w:b/>
                <w:i/>
              </w:rPr>
            </w:pPr>
          </w:p>
        </w:tc>
      </w:tr>
      <w:tr w:rsidR="001A7792" w:rsidRPr="000A3E55" w14:paraId="3F4DEF02" w14:textId="77777777" w:rsidTr="00803FB9">
        <w:tc>
          <w:tcPr>
            <w:tcW w:w="4678" w:type="dxa"/>
            <w:tcBorders>
              <w:top w:val="single" w:sz="4" w:space="0" w:color="auto"/>
              <w:left w:val="nil"/>
              <w:bottom w:val="single" w:sz="4" w:space="0" w:color="auto"/>
              <w:right w:val="nil"/>
            </w:tcBorders>
            <w:shd w:val="pct5" w:color="auto" w:fill="FFFFFF"/>
          </w:tcPr>
          <w:p w14:paraId="09A12901" w14:textId="77777777" w:rsidR="001A7792" w:rsidRPr="000A3E55" w:rsidRDefault="001A7792" w:rsidP="001A7792">
            <w:r w:rsidRPr="00FE06BA">
              <w:t>Position</w:t>
            </w:r>
          </w:p>
        </w:tc>
        <w:tc>
          <w:tcPr>
            <w:tcW w:w="144" w:type="dxa"/>
            <w:tcBorders>
              <w:top w:val="single" w:sz="4" w:space="0" w:color="auto"/>
              <w:left w:val="nil"/>
              <w:bottom w:val="single" w:sz="4" w:space="0" w:color="auto"/>
              <w:right w:val="nil"/>
            </w:tcBorders>
            <w:shd w:val="pct12" w:color="auto" w:fill="FFFFFF"/>
          </w:tcPr>
          <w:p w14:paraId="06AEB507" w14:textId="77777777" w:rsidR="001A7792" w:rsidRPr="000A3E55" w:rsidRDefault="001A7792" w:rsidP="001A7792">
            <w:pPr>
              <w:spacing w:after="0" w:line="240" w:lineRule="auto"/>
              <w:rPr>
                <w:rFonts w:eastAsia="Times New Roman" w:cs="Arial"/>
                <w:b/>
                <w:i/>
                <w:color w:val="330066"/>
              </w:rPr>
            </w:pPr>
          </w:p>
        </w:tc>
        <w:tc>
          <w:tcPr>
            <w:tcW w:w="4838" w:type="dxa"/>
            <w:gridSpan w:val="2"/>
            <w:tcBorders>
              <w:top w:val="single" w:sz="4" w:space="0" w:color="auto"/>
              <w:left w:val="nil"/>
              <w:bottom w:val="single" w:sz="4" w:space="0" w:color="auto"/>
              <w:right w:val="nil"/>
            </w:tcBorders>
          </w:tcPr>
          <w:p w14:paraId="776380B7" w14:textId="77777777" w:rsidR="001A7792" w:rsidRPr="000A3E55" w:rsidRDefault="001A7792" w:rsidP="001A7792">
            <w:pPr>
              <w:rPr>
                <w:b/>
                <w:i/>
              </w:rPr>
            </w:pPr>
          </w:p>
        </w:tc>
      </w:tr>
      <w:tr w:rsidR="001A7792" w:rsidRPr="000A3E55" w14:paraId="529FA77D" w14:textId="77777777" w:rsidTr="00803FB9">
        <w:tc>
          <w:tcPr>
            <w:tcW w:w="4678" w:type="dxa"/>
            <w:tcBorders>
              <w:top w:val="single" w:sz="4" w:space="0" w:color="auto"/>
              <w:left w:val="nil"/>
              <w:bottom w:val="single" w:sz="4" w:space="0" w:color="auto"/>
              <w:right w:val="nil"/>
            </w:tcBorders>
            <w:shd w:val="pct5" w:color="auto" w:fill="FFFFFF"/>
          </w:tcPr>
          <w:p w14:paraId="2BD6E363" w14:textId="77777777" w:rsidR="001A7792" w:rsidRPr="000A3E55" w:rsidRDefault="001A7792" w:rsidP="001A7792">
            <w:r w:rsidRPr="00FE06BA">
              <w:t>Professional experience or other relevant experience</w:t>
            </w:r>
          </w:p>
        </w:tc>
        <w:tc>
          <w:tcPr>
            <w:tcW w:w="144" w:type="dxa"/>
            <w:tcBorders>
              <w:top w:val="single" w:sz="4" w:space="0" w:color="auto"/>
              <w:left w:val="nil"/>
              <w:bottom w:val="single" w:sz="4" w:space="0" w:color="auto"/>
              <w:right w:val="nil"/>
            </w:tcBorders>
            <w:shd w:val="pct12" w:color="auto" w:fill="FFFFFF"/>
          </w:tcPr>
          <w:p w14:paraId="6DDE27A0" w14:textId="77777777" w:rsidR="001A7792" w:rsidRPr="000A3E55" w:rsidRDefault="001A7792" w:rsidP="001A7792">
            <w:pPr>
              <w:spacing w:after="0" w:line="240" w:lineRule="auto"/>
              <w:rPr>
                <w:rFonts w:eastAsia="Times New Roman" w:cs="Arial"/>
                <w:b/>
                <w:i/>
                <w:color w:val="330066"/>
              </w:rPr>
            </w:pPr>
          </w:p>
        </w:tc>
        <w:tc>
          <w:tcPr>
            <w:tcW w:w="4838" w:type="dxa"/>
            <w:gridSpan w:val="2"/>
            <w:tcBorders>
              <w:top w:val="single" w:sz="4" w:space="0" w:color="auto"/>
              <w:left w:val="nil"/>
              <w:bottom w:val="single" w:sz="4" w:space="0" w:color="auto"/>
              <w:right w:val="nil"/>
            </w:tcBorders>
          </w:tcPr>
          <w:p w14:paraId="7EA31D15" w14:textId="77777777" w:rsidR="001A7792" w:rsidRPr="000A3E55" w:rsidRDefault="001A7792" w:rsidP="001A7792">
            <w:pPr>
              <w:rPr>
                <w:b/>
                <w:i/>
              </w:rPr>
            </w:pPr>
          </w:p>
        </w:tc>
      </w:tr>
      <w:tr w:rsidR="001A7792" w:rsidRPr="000A3E55" w14:paraId="0AE39BB6" w14:textId="77777777" w:rsidTr="00803FB9">
        <w:tc>
          <w:tcPr>
            <w:tcW w:w="4678" w:type="dxa"/>
            <w:tcBorders>
              <w:top w:val="single" w:sz="4" w:space="0" w:color="auto"/>
              <w:left w:val="nil"/>
              <w:bottom w:val="single" w:sz="4" w:space="0" w:color="auto"/>
              <w:right w:val="nil"/>
            </w:tcBorders>
            <w:shd w:val="pct5" w:color="auto" w:fill="FFFFFF"/>
          </w:tcPr>
          <w:p w14:paraId="51E93FCD" w14:textId="77777777" w:rsidR="001A7792" w:rsidRPr="000A3E55" w:rsidRDefault="001A7792" w:rsidP="001A7792">
            <w:r w:rsidRPr="00FE06BA">
              <w:t>Educational qualification and relevant training</w:t>
            </w:r>
          </w:p>
        </w:tc>
        <w:tc>
          <w:tcPr>
            <w:tcW w:w="144" w:type="dxa"/>
            <w:tcBorders>
              <w:top w:val="single" w:sz="4" w:space="0" w:color="auto"/>
              <w:left w:val="nil"/>
              <w:bottom w:val="single" w:sz="4" w:space="0" w:color="auto"/>
              <w:right w:val="nil"/>
            </w:tcBorders>
            <w:shd w:val="pct12" w:color="auto" w:fill="FFFFFF"/>
          </w:tcPr>
          <w:p w14:paraId="7C4169B2" w14:textId="77777777" w:rsidR="001A7792" w:rsidRPr="000A3E55" w:rsidRDefault="001A7792" w:rsidP="001A7792">
            <w:pPr>
              <w:spacing w:after="0" w:line="240" w:lineRule="auto"/>
              <w:rPr>
                <w:rFonts w:eastAsia="Times New Roman" w:cs="Arial"/>
                <w:b/>
                <w:i/>
                <w:color w:val="330066"/>
              </w:rPr>
            </w:pPr>
          </w:p>
        </w:tc>
        <w:tc>
          <w:tcPr>
            <w:tcW w:w="4838" w:type="dxa"/>
            <w:gridSpan w:val="2"/>
            <w:tcBorders>
              <w:top w:val="single" w:sz="4" w:space="0" w:color="auto"/>
              <w:left w:val="nil"/>
              <w:bottom w:val="single" w:sz="4" w:space="0" w:color="auto"/>
              <w:right w:val="nil"/>
            </w:tcBorders>
          </w:tcPr>
          <w:p w14:paraId="7480C3C7" w14:textId="77777777" w:rsidR="001A7792" w:rsidRPr="000A3E55" w:rsidRDefault="001A7792" w:rsidP="001A7792">
            <w:pPr>
              <w:rPr>
                <w:b/>
                <w:i/>
              </w:rPr>
            </w:pPr>
          </w:p>
        </w:tc>
      </w:tr>
      <w:tr w:rsidR="001A7792" w:rsidRPr="000A3E55" w14:paraId="34754CB1" w14:textId="77777777" w:rsidTr="00803FB9">
        <w:tc>
          <w:tcPr>
            <w:tcW w:w="4678" w:type="dxa"/>
            <w:tcBorders>
              <w:top w:val="single" w:sz="4" w:space="0" w:color="auto"/>
              <w:left w:val="nil"/>
              <w:bottom w:val="single" w:sz="4" w:space="0" w:color="auto"/>
              <w:right w:val="nil"/>
            </w:tcBorders>
            <w:shd w:val="pct5" w:color="auto" w:fill="FFFFFF"/>
          </w:tcPr>
          <w:p w14:paraId="58D956AE" w14:textId="77777777" w:rsidR="001A7792" w:rsidRPr="000A3E55" w:rsidRDefault="00617E71" w:rsidP="001A7792">
            <w:r>
              <w:t>List of executive and non-</w:t>
            </w:r>
            <w:r w:rsidR="001A7792" w:rsidRPr="00FE06BA">
              <w:t>executive directorships in other entities</w:t>
            </w:r>
          </w:p>
        </w:tc>
        <w:tc>
          <w:tcPr>
            <w:tcW w:w="144" w:type="dxa"/>
            <w:tcBorders>
              <w:top w:val="single" w:sz="4" w:space="0" w:color="auto"/>
              <w:left w:val="nil"/>
              <w:bottom w:val="single" w:sz="4" w:space="0" w:color="auto"/>
              <w:right w:val="nil"/>
            </w:tcBorders>
            <w:shd w:val="pct12" w:color="auto" w:fill="FFFFFF"/>
          </w:tcPr>
          <w:p w14:paraId="24DF2894" w14:textId="77777777" w:rsidR="001A7792" w:rsidRPr="000A3E55" w:rsidRDefault="001A7792" w:rsidP="001A7792">
            <w:pPr>
              <w:spacing w:after="0" w:line="240" w:lineRule="auto"/>
              <w:rPr>
                <w:rFonts w:eastAsia="Times New Roman" w:cs="Arial"/>
                <w:b/>
                <w:i/>
                <w:color w:val="330066"/>
              </w:rPr>
            </w:pPr>
          </w:p>
        </w:tc>
        <w:tc>
          <w:tcPr>
            <w:tcW w:w="4838" w:type="dxa"/>
            <w:gridSpan w:val="2"/>
            <w:tcBorders>
              <w:top w:val="single" w:sz="4" w:space="0" w:color="auto"/>
              <w:left w:val="nil"/>
              <w:bottom w:val="single" w:sz="4" w:space="0" w:color="auto"/>
              <w:right w:val="nil"/>
            </w:tcBorders>
          </w:tcPr>
          <w:p w14:paraId="202487AA" w14:textId="77777777" w:rsidR="001A7792" w:rsidRPr="000A3E55" w:rsidRDefault="001A7792" w:rsidP="001A7792">
            <w:pPr>
              <w:rPr>
                <w:b/>
                <w:i/>
              </w:rPr>
            </w:pPr>
          </w:p>
        </w:tc>
      </w:tr>
      <w:tr w:rsidR="001A7792" w:rsidRPr="000A3E55" w14:paraId="74AD076A" w14:textId="77777777" w:rsidTr="00803FB9">
        <w:tc>
          <w:tcPr>
            <w:tcW w:w="4678" w:type="dxa"/>
            <w:tcBorders>
              <w:top w:val="single" w:sz="4" w:space="0" w:color="auto"/>
              <w:left w:val="nil"/>
              <w:bottom w:val="single" w:sz="4" w:space="0" w:color="auto"/>
              <w:right w:val="nil"/>
            </w:tcBorders>
            <w:shd w:val="pct5" w:color="auto" w:fill="FFFFFF"/>
          </w:tcPr>
          <w:p w14:paraId="130BE42A" w14:textId="77777777" w:rsidR="001A7792" w:rsidRPr="000A3E55" w:rsidRDefault="001A7792" w:rsidP="001A7792">
            <w:r w:rsidRPr="00FE06BA">
              <w:t>Effective date</w:t>
            </w:r>
          </w:p>
        </w:tc>
        <w:tc>
          <w:tcPr>
            <w:tcW w:w="144" w:type="dxa"/>
            <w:tcBorders>
              <w:top w:val="single" w:sz="4" w:space="0" w:color="auto"/>
              <w:left w:val="nil"/>
              <w:bottom w:val="single" w:sz="4" w:space="0" w:color="auto"/>
              <w:right w:val="nil"/>
            </w:tcBorders>
            <w:shd w:val="pct12" w:color="auto" w:fill="FFFFFF"/>
          </w:tcPr>
          <w:p w14:paraId="4A3CEC22" w14:textId="77777777" w:rsidR="001A7792" w:rsidRPr="000A3E55" w:rsidRDefault="001A7792" w:rsidP="001A7792">
            <w:pPr>
              <w:spacing w:after="0" w:line="240" w:lineRule="auto"/>
              <w:rPr>
                <w:rFonts w:eastAsia="Times New Roman" w:cs="Arial"/>
                <w:b/>
                <w:i/>
                <w:color w:val="330066"/>
              </w:rPr>
            </w:pPr>
          </w:p>
        </w:tc>
        <w:tc>
          <w:tcPr>
            <w:tcW w:w="4838" w:type="dxa"/>
            <w:gridSpan w:val="2"/>
            <w:tcBorders>
              <w:top w:val="single" w:sz="4" w:space="0" w:color="auto"/>
              <w:left w:val="nil"/>
              <w:bottom w:val="single" w:sz="4" w:space="0" w:color="auto"/>
              <w:right w:val="nil"/>
            </w:tcBorders>
          </w:tcPr>
          <w:p w14:paraId="1E3BBC21" w14:textId="77777777" w:rsidR="001A7792" w:rsidRPr="000A3E55" w:rsidRDefault="001A7792" w:rsidP="001A7792">
            <w:pPr>
              <w:rPr>
                <w:b/>
                <w:i/>
              </w:rPr>
            </w:pPr>
          </w:p>
        </w:tc>
      </w:tr>
      <w:tr w:rsidR="001A7792" w:rsidRPr="000A3E55" w14:paraId="0D693ADC" w14:textId="77777777" w:rsidTr="00803FB9">
        <w:tc>
          <w:tcPr>
            <w:tcW w:w="4678" w:type="dxa"/>
            <w:tcBorders>
              <w:top w:val="single" w:sz="4" w:space="0" w:color="auto"/>
              <w:left w:val="nil"/>
              <w:bottom w:val="single" w:sz="4" w:space="0" w:color="auto"/>
              <w:right w:val="nil"/>
            </w:tcBorders>
            <w:shd w:val="pct5" w:color="auto" w:fill="FFFFFF"/>
          </w:tcPr>
          <w:p w14:paraId="2D026E03" w14:textId="77777777" w:rsidR="001A7792" w:rsidRDefault="001A7792" w:rsidP="001A7792">
            <w:pPr>
              <w:rPr>
                <w:i/>
              </w:rPr>
            </w:pPr>
          </w:p>
        </w:tc>
        <w:tc>
          <w:tcPr>
            <w:tcW w:w="144" w:type="dxa"/>
            <w:tcBorders>
              <w:top w:val="single" w:sz="4" w:space="0" w:color="auto"/>
              <w:left w:val="nil"/>
              <w:bottom w:val="single" w:sz="4" w:space="0" w:color="auto"/>
              <w:right w:val="nil"/>
            </w:tcBorders>
            <w:shd w:val="pct12" w:color="auto" w:fill="FFFFFF"/>
          </w:tcPr>
          <w:p w14:paraId="51433059" w14:textId="77777777" w:rsidR="001A7792" w:rsidRPr="000A3E55" w:rsidRDefault="001A7792" w:rsidP="001A7792">
            <w:pPr>
              <w:spacing w:after="0" w:line="240" w:lineRule="auto"/>
              <w:rPr>
                <w:rFonts w:eastAsia="Times New Roman" w:cs="Arial"/>
                <w:b/>
                <w:i/>
                <w:color w:val="330066"/>
              </w:rPr>
            </w:pPr>
          </w:p>
        </w:tc>
        <w:tc>
          <w:tcPr>
            <w:tcW w:w="4838" w:type="dxa"/>
            <w:gridSpan w:val="2"/>
            <w:tcBorders>
              <w:top w:val="single" w:sz="4" w:space="0" w:color="auto"/>
              <w:left w:val="nil"/>
              <w:bottom w:val="single" w:sz="4" w:space="0" w:color="auto"/>
              <w:right w:val="nil"/>
            </w:tcBorders>
          </w:tcPr>
          <w:p w14:paraId="19A29635" w14:textId="77777777" w:rsidR="001A7792" w:rsidRPr="000A3E55" w:rsidRDefault="001A7792" w:rsidP="001A7792">
            <w:pPr>
              <w:rPr>
                <w:b/>
                <w:i/>
              </w:rPr>
            </w:pPr>
          </w:p>
        </w:tc>
      </w:tr>
      <w:tr w:rsidR="001A7792" w:rsidRPr="000A3E55" w14:paraId="7351CB2E" w14:textId="77777777" w:rsidTr="00803FB9">
        <w:tc>
          <w:tcPr>
            <w:tcW w:w="4678" w:type="dxa"/>
            <w:tcBorders>
              <w:top w:val="single" w:sz="4" w:space="0" w:color="auto"/>
              <w:left w:val="nil"/>
              <w:bottom w:val="single" w:sz="4" w:space="0" w:color="auto"/>
              <w:right w:val="nil"/>
            </w:tcBorders>
            <w:shd w:val="pct5" w:color="auto" w:fill="FFFFFF"/>
          </w:tcPr>
          <w:p w14:paraId="1903C7F7" w14:textId="77777777" w:rsidR="001A7792" w:rsidRPr="001A7792" w:rsidRDefault="001A7792" w:rsidP="001A7792">
            <w:pPr>
              <w:rPr>
                <w:b/>
              </w:rPr>
            </w:pPr>
            <w:r w:rsidRPr="001A7792">
              <w:rPr>
                <w:b/>
                <w:i/>
              </w:rPr>
              <w:t>Person 2</w:t>
            </w:r>
          </w:p>
        </w:tc>
        <w:tc>
          <w:tcPr>
            <w:tcW w:w="144" w:type="dxa"/>
            <w:tcBorders>
              <w:top w:val="single" w:sz="4" w:space="0" w:color="auto"/>
              <w:left w:val="nil"/>
              <w:bottom w:val="single" w:sz="4" w:space="0" w:color="auto"/>
              <w:right w:val="nil"/>
            </w:tcBorders>
            <w:shd w:val="pct12" w:color="auto" w:fill="FFFFFF"/>
          </w:tcPr>
          <w:p w14:paraId="411B117E" w14:textId="77777777" w:rsidR="001A7792" w:rsidRPr="000A3E55" w:rsidRDefault="001A7792" w:rsidP="001A7792">
            <w:pPr>
              <w:spacing w:after="0" w:line="240" w:lineRule="auto"/>
              <w:rPr>
                <w:rFonts w:eastAsia="Times New Roman" w:cs="Arial"/>
                <w:b/>
                <w:i/>
                <w:color w:val="330066"/>
              </w:rPr>
            </w:pPr>
          </w:p>
        </w:tc>
        <w:tc>
          <w:tcPr>
            <w:tcW w:w="4838" w:type="dxa"/>
            <w:gridSpan w:val="2"/>
            <w:tcBorders>
              <w:top w:val="single" w:sz="4" w:space="0" w:color="auto"/>
              <w:left w:val="nil"/>
              <w:bottom w:val="single" w:sz="4" w:space="0" w:color="auto"/>
              <w:right w:val="nil"/>
            </w:tcBorders>
          </w:tcPr>
          <w:p w14:paraId="467AE28B" w14:textId="77777777" w:rsidR="001A7792" w:rsidRPr="000A3E55" w:rsidRDefault="001A7792" w:rsidP="001A7792">
            <w:pPr>
              <w:rPr>
                <w:b/>
                <w:i/>
              </w:rPr>
            </w:pPr>
          </w:p>
        </w:tc>
      </w:tr>
      <w:tr w:rsidR="001A7792" w:rsidRPr="000A3E55" w14:paraId="6F536EEE" w14:textId="77777777" w:rsidTr="00803FB9">
        <w:tc>
          <w:tcPr>
            <w:tcW w:w="4678" w:type="dxa"/>
            <w:tcBorders>
              <w:top w:val="single" w:sz="4" w:space="0" w:color="auto"/>
              <w:left w:val="nil"/>
              <w:bottom w:val="single" w:sz="4" w:space="0" w:color="auto"/>
              <w:right w:val="nil"/>
            </w:tcBorders>
            <w:shd w:val="pct5" w:color="auto" w:fill="FFFFFF"/>
          </w:tcPr>
          <w:p w14:paraId="23EC9800" w14:textId="77777777" w:rsidR="001A7792" w:rsidRPr="00FE06BA" w:rsidRDefault="001A7792" w:rsidP="001A7792">
            <w:r w:rsidRPr="00FE06BA">
              <w:t>Name</w:t>
            </w:r>
          </w:p>
        </w:tc>
        <w:tc>
          <w:tcPr>
            <w:tcW w:w="144" w:type="dxa"/>
            <w:tcBorders>
              <w:top w:val="single" w:sz="4" w:space="0" w:color="auto"/>
              <w:left w:val="nil"/>
              <w:bottom w:val="single" w:sz="4" w:space="0" w:color="auto"/>
              <w:right w:val="nil"/>
            </w:tcBorders>
            <w:shd w:val="pct12" w:color="auto" w:fill="FFFFFF"/>
          </w:tcPr>
          <w:p w14:paraId="46900E3E" w14:textId="77777777" w:rsidR="001A7792" w:rsidRPr="000A3E55" w:rsidRDefault="001A7792" w:rsidP="001A7792">
            <w:pPr>
              <w:spacing w:after="0" w:line="240" w:lineRule="auto"/>
              <w:rPr>
                <w:rFonts w:eastAsia="Times New Roman" w:cs="Arial"/>
                <w:b/>
                <w:i/>
                <w:color w:val="330066"/>
              </w:rPr>
            </w:pPr>
          </w:p>
        </w:tc>
        <w:tc>
          <w:tcPr>
            <w:tcW w:w="4838" w:type="dxa"/>
            <w:gridSpan w:val="2"/>
            <w:tcBorders>
              <w:top w:val="single" w:sz="4" w:space="0" w:color="auto"/>
              <w:left w:val="nil"/>
              <w:bottom w:val="single" w:sz="4" w:space="0" w:color="auto"/>
              <w:right w:val="nil"/>
            </w:tcBorders>
          </w:tcPr>
          <w:p w14:paraId="1F7F3CFD" w14:textId="77777777" w:rsidR="001A7792" w:rsidRPr="000A3E55" w:rsidRDefault="001A7792" w:rsidP="001A7792">
            <w:pPr>
              <w:rPr>
                <w:b/>
                <w:i/>
              </w:rPr>
            </w:pPr>
          </w:p>
        </w:tc>
      </w:tr>
      <w:tr w:rsidR="001A7792" w:rsidRPr="000A3E55" w14:paraId="23354EB3" w14:textId="77777777" w:rsidTr="00803FB9">
        <w:tc>
          <w:tcPr>
            <w:tcW w:w="4678" w:type="dxa"/>
            <w:tcBorders>
              <w:top w:val="single" w:sz="4" w:space="0" w:color="auto"/>
              <w:left w:val="nil"/>
              <w:bottom w:val="single" w:sz="4" w:space="0" w:color="auto"/>
              <w:right w:val="nil"/>
            </w:tcBorders>
            <w:shd w:val="pct5" w:color="auto" w:fill="FFFFFF"/>
          </w:tcPr>
          <w:p w14:paraId="6ED38310" w14:textId="77777777" w:rsidR="001A7792" w:rsidRPr="00FE06BA" w:rsidRDefault="001A7792" w:rsidP="001A7792">
            <w:r w:rsidRPr="00FE06BA">
              <w:t>Contact details</w:t>
            </w:r>
          </w:p>
        </w:tc>
        <w:tc>
          <w:tcPr>
            <w:tcW w:w="144" w:type="dxa"/>
            <w:tcBorders>
              <w:top w:val="single" w:sz="4" w:space="0" w:color="auto"/>
              <w:left w:val="nil"/>
              <w:bottom w:val="single" w:sz="4" w:space="0" w:color="auto"/>
              <w:right w:val="nil"/>
            </w:tcBorders>
            <w:shd w:val="pct12" w:color="auto" w:fill="FFFFFF"/>
          </w:tcPr>
          <w:p w14:paraId="4357FE83" w14:textId="77777777" w:rsidR="001A7792" w:rsidRPr="000A3E55" w:rsidRDefault="001A7792" w:rsidP="001A7792">
            <w:pPr>
              <w:spacing w:after="0" w:line="240" w:lineRule="auto"/>
              <w:rPr>
                <w:rFonts w:eastAsia="Times New Roman" w:cs="Arial"/>
                <w:b/>
                <w:i/>
                <w:color w:val="330066"/>
              </w:rPr>
            </w:pPr>
          </w:p>
        </w:tc>
        <w:tc>
          <w:tcPr>
            <w:tcW w:w="4838" w:type="dxa"/>
            <w:gridSpan w:val="2"/>
            <w:tcBorders>
              <w:top w:val="single" w:sz="4" w:space="0" w:color="auto"/>
              <w:left w:val="nil"/>
              <w:bottom w:val="single" w:sz="4" w:space="0" w:color="auto"/>
              <w:right w:val="nil"/>
            </w:tcBorders>
          </w:tcPr>
          <w:p w14:paraId="21CBD19E" w14:textId="77777777" w:rsidR="001A7792" w:rsidRPr="000A3E55" w:rsidRDefault="001A7792" w:rsidP="001A7792">
            <w:pPr>
              <w:rPr>
                <w:b/>
                <w:i/>
              </w:rPr>
            </w:pPr>
          </w:p>
        </w:tc>
      </w:tr>
      <w:tr w:rsidR="001A7792" w:rsidRPr="000A3E55" w14:paraId="461743A2" w14:textId="77777777" w:rsidTr="00803FB9">
        <w:tc>
          <w:tcPr>
            <w:tcW w:w="4678" w:type="dxa"/>
            <w:tcBorders>
              <w:top w:val="single" w:sz="4" w:space="0" w:color="auto"/>
              <w:left w:val="nil"/>
              <w:bottom w:val="single" w:sz="4" w:space="0" w:color="auto"/>
              <w:right w:val="nil"/>
            </w:tcBorders>
            <w:shd w:val="pct5" w:color="auto" w:fill="FFFFFF"/>
          </w:tcPr>
          <w:p w14:paraId="4F18FAA0" w14:textId="77777777" w:rsidR="001A7792" w:rsidRPr="00FE06BA" w:rsidRDefault="001A7792" w:rsidP="001A7792">
            <w:r w:rsidRPr="00FE06BA">
              <w:t>Position</w:t>
            </w:r>
          </w:p>
        </w:tc>
        <w:tc>
          <w:tcPr>
            <w:tcW w:w="144" w:type="dxa"/>
            <w:tcBorders>
              <w:top w:val="single" w:sz="4" w:space="0" w:color="auto"/>
              <w:left w:val="nil"/>
              <w:bottom w:val="single" w:sz="4" w:space="0" w:color="auto"/>
              <w:right w:val="nil"/>
            </w:tcBorders>
            <w:shd w:val="pct12" w:color="auto" w:fill="FFFFFF"/>
          </w:tcPr>
          <w:p w14:paraId="0C539E8D" w14:textId="77777777" w:rsidR="001A7792" w:rsidRPr="000A3E55" w:rsidRDefault="001A7792" w:rsidP="001A7792">
            <w:pPr>
              <w:spacing w:after="0" w:line="240" w:lineRule="auto"/>
              <w:rPr>
                <w:rFonts w:eastAsia="Times New Roman" w:cs="Arial"/>
                <w:b/>
                <w:i/>
                <w:color w:val="330066"/>
              </w:rPr>
            </w:pPr>
          </w:p>
        </w:tc>
        <w:tc>
          <w:tcPr>
            <w:tcW w:w="4838" w:type="dxa"/>
            <w:gridSpan w:val="2"/>
            <w:tcBorders>
              <w:top w:val="single" w:sz="4" w:space="0" w:color="auto"/>
              <w:left w:val="nil"/>
              <w:bottom w:val="single" w:sz="4" w:space="0" w:color="auto"/>
              <w:right w:val="nil"/>
            </w:tcBorders>
          </w:tcPr>
          <w:p w14:paraId="7EF63334" w14:textId="77777777" w:rsidR="001A7792" w:rsidRPr="000A3E55" w:rsidRDefault="001A7792" w:rsidP="001A7792">
            <w:pPr>
              <w:rPr>
                <w:b/>
                <w:i/>
              </w:rPr>
            </w:pPr>
          </w:p>
        </w:tc>
      </w:tr>
      <w:tr w:rsidR="001A7792" w:rsidRPr="000A3E55" w14:paraId="51BC3E7B" w14:textId="77777777" w:rsidTr="00803FB9">
        <w:tc>
          <w:tcPr>
            <w:tcW w:w="4678" w:type="dxa"/>
            <w:tcBorders>
              <w:top w:val="single" w:sz="4" w:space="0" w:color="auto"/>
              <w:left w:val="nil"/>
              <w:bottom w:val="single" w:sz="4" w:space="0" w:color="auto"/>
              <w:right w:val="nil"/>
            </w:tcBorders>
            <w:shd w:val="pct5" w:color="auto" w:fill="FFFFFF"/>
          </w:tcPr>
          <w:p w14:paraId="058A6D81" w14:textId="77777777" w:rsidR="001A7792" w:rsidRPr="00FE06BA" w:rsidRDefault="001A7792" w:rsidP="001A7792">
            <w:r w:rsidRPr="00FE06BA">
              <w:t>Professional experience or other relevant experience</w:t>
            </w:r>
          </w:p>
        </w:tc>
        <w:tc>
          <w:tcPr>
            <w:tcW w:w="144" w:type="dxa"/>
            <w:tcBorders>
              <w:top w:val="single" w:sz="4" w:space="0" w:color="auto"/>
              <w:left w:val="nil"/>
              <w:bottom w:val="single" w:sz="4" w:space="0" w:color="auto"/>
              <w:right w:val="nil"/>
            </w:tcBorders>
            <w:shd w:val="pct12" w:color="auto" w:fill="FFFFFF"/>
          </w:tcPr>
          <w:p w14:paraId="2A97A490" w14:textId="77777777" w:rsidR="001A7792" w:rsidRPr="000A3E55" w:rsidRDefault="001A7792" w:rsidP="001A7792">
            <w:pPr>
              <w:spacing w:after="0" w:line="240" w:lineRule="auto"/>
              <w:rPr>
                <w:rFonts w:eastAsia="Times New Roman" w:cs="Arial"/>
                <w:b/>
                <w:i/>
                <w:color w:val="330066"/>
              </w:rPr>
            </w:pPr>
          </w:p>
        </w:tc>
        <w:tc>
          <w:tcPr>
            <w:tcW w:w="4838" w:type="dxa"/>
            <w:gridSpan w:val="2"/>
            <w:tcBorders>
              <w:top w:val="single" w:sz="4" w:space="0" w:color="auto"/>
              <w:left w:val="nil"/>
              <w:bottom w:val="single" w:sz="4" w:space="0" w:color="auto"/>
              <w:right w:val="nil"/>
            </w:tcBorders>
          </w:tcPr>
          <w:p w14:paraId="1690F2B8" w14:textId="77777777" w:rsidR="001A7792" w:rsidRPr="000A3E55" w:rsidRDefault="001A7792" w:rsidP="001A7792">
            <w:pPr>
              <w:rPr>
                <w:b/>
                <w:i/>
              </w:rPr>
            </w:pPr>
          </w:p>
        </w:tc>
      </w:tr>
      <w:tr w:rsidR="001A7792" w:rsidRPr="000A3E55" w14:paraId="5A67C062" w14:textId="77777777" w:rsidTr="00803FB9">
        <w:tc>
          <w:tcPr>
            <w:tcW w:w="4678" w:type="dxa"/>
            <w:tcBorders>
              <w:top w:val="single" w:sz="4" w:space="0" w:color="auto"/>
              <w:left w:val="nil"/>
              <w:bottom w:val="single" w:sz="4" w:space="0" w:color="auto"/>
              <w:right w:val="nil"/>
            </w:tcBorders>
            <w:shd w:val="pct5" w:color="auto" w:fill="FFFFFF"/>
          </w:tcPr>
          <w:p w14:paraId="3DB5D305" w14:textId="77777777" w:rsidR="001A7792" w:rsidRPr="00FE06BA" w:rsidRDefault="001A7792" w:rsidP="001A7792">
            <w:r w:rsidRPr="00FE06BA">
              <w:t>Educational qualification and relevant training</w:t>
            </w:r>
          </w:p>
        </w:tc>
        <w:tc>
          <w:tcPr>
            <w:tcW w:w="144" w:type="dxa"/>
            <w:tcBorders>
              <w:top w:val="single" w:sz="4" w:space="0" w:color="auto"/>
              <w:left w:val="nil"/>
              <w:bottom w:val="single" w:sz="4" w:space="0" w:color="auto"/>
              <w:right w:val="nil"/>
            </w:tcBorders>
            <w:shd w:val="pct12" w:color="auto" w:fill="FFFFFF"/>
          </w:tcPr>
          <w:p w14:paraId="036D3499" w14:textId="77777777" w:rsidR="001A7792" w:rsidRPr="000A3E55" w:rsidRDefault="001A7792" w:rsidP="001A7792">
            <w:pPr>
              <w:spacing w:after="0" w:line="240" w:lineRule="auto"/>
              <w:rPr>
                <w:rFonts w:eastAsia="Times New Roman" w:cs="Arial"/>
                <w:b/>
                <w:i/>
                <w:color w:val="330066"/>
              </w:rPr>
            </w:pPr>
          </w:p>
        </w:tc>
        <w:tc>
          <w:tcPr>
            <w:tcW w:w="4838" w:type="dxa"/>
            <w:gridSpan w:val="2"/>
            <w:tcBorders>
              <w:top w:val="single" w:sz="4" w:space="0" w:color="auto"/>
              <w:left w:val="nil"/>
              <w:bottom w:val="single" w:sz="4" w:space="0" w:color="auto"/>
              <w:right w:val="nil"/>
            </w:tcBorders>
          </w:tcPr>
          <w:p w14:paraId="0F877387" w14:textId="77777777" w:rsidR="001A7792" w:rsidRPr="000A3E55" w:rsidRDefault="001A7792" w:rsidP="001A7792">
            <w:pPr>
              <w:rPr>
                <w:b/>
                <w:i/>
              </w:rPr>
            </w:pPr>
          </w:p>
        </w:tc>
      </w:tr>
      <w:tr w:rsidR="001A7792" w:rsidRPr="000A3E55" w14:paraId="5541FFC9" w14:textId="77777777" w:rsidTr="00803FB9">
        <w:tc>
          <w:tcPr>
            <w:tcW w:w="4678" w:type="dxa"/>
            <w:tcBorders>
              <w:top w:val="single" w:sz="4" w:space="0" w:color="auto"/>
              <w:left w:val="nil"/>
              <w:bottom w:val="single" w:sz="4" w:space="0" w:color="auto"/>
              <w:right w:val="nil"/>
            </w:tcBorders>
            <w:shd w:val="pct5" w:color="auto" w:fill="FFFFFF"/>
          </w:tcPr>
          <w:p w14:paraId="594C4E3C" w14:textId="77777777" w:rsidR="001A7792" w:rsidRPr="00FE06BA" w:rsidRDefault="001A7792" w:rsidP="001A7792">
            <w:r w:rsidRPr="00FE06BA">
              <w:lastRenderedPageBreak/>
              <w:t xml:space="preserve">List of executive and </w:t>
            </w:r>
            <w:r w:rsidR="00617E71">
              <w:t>non-executive</w:t>
            </w:r>
            <w:r w:rsidRPr="00FE06BA">
              <w:t xml:space="preserve"> directorships in other entities</w:t>
            </w:r>
          </w:p>
        </w:tc>
        <w:tc>
          <w:tcPr>
            <w:tcW w:w="144" w:type="dxa"/>
            <w:tcBorders>
              <w:top w:val="single" w:sz="4" w:space="0" w:color="auto"/>
              <w:left w:val="nil"/>
              <w:bottom w:val="single" w:sz="4" w:space="0" w:color="auto"/>
              <w:right w:val="nil"/>
            </w:tcBorders>
            <w:shd w:val="pct12" w:color="auto" w:fill="FFFFFF"/>
          </w:tcPr>
          <w:p w14:paraId="5F623D72" w14:textId="77777777" w:rsidR="001A7792" w:rsidRPr="000A3E55" w:rsidRDefault="001A7792" w:rsidP="001A7792">
            <w:pPr>
              <w:spacing w:after="0" w:line="240" w:lineRule="auto"/>
              <w:rPr>
                <w:rFonts w:eastAsia="Times New Roman" w:cs="Arial"/>
                <w:b/>
                <w:i/>
                <w:color w:val="330066"/>
              </w:rPr>
            </w:pPr>
          </w:p>
        </w:tc>
        <w:tc>
          <w:tcPr>
            <w:tcW w:w="4838" w:type="dxa"/>
            <w:gridSpan w:val="2"/>
            <w:tcBorders>
              <w:top w:val="single" w:sz="4" w:space="0" w:color="auto"/>
              <w:left w:val="nil"/>
              <w:bottom w:val="single" w:sz="4" w:space="0" w:color="auto"/>
              <w:right w:val="nil"/>
            </w:tcBorders>
          </w:tcPr>
          <w:p w14:paraId="56DC1C99" w14:textId="77777777" w:rsidR="001A7792" w:rsidRPr="000A3E55" w:rsidRDefault="001A7792" w:rsidP="001A7792">
            <w:pPr>
              <w:rPr>
                <w:b/>
                <w:i/>
              </w:rPr>
            </w:pPr>
          </w:p>
        </w:tc>
      </w:tr>
      <w:tr w:rsidR="001A7792" w:rsidRPr="000A3E55" w14:paraId="4D474DC1" w14:textId="77777777" w:rsidTr="00803FB9">
        <w:tc>
          <w:tcPr>
            <w:tcW w:w="4678" w:type="dxa"/>
            <w:tcBorders>
              <w:top w:val="single" w:sz="4" w:space="0" w:color="auto"/>
              <w:left w:val="nil"/>
              <w:bottom w:val="single" w:sz="4" w:space="0" w:color="auto"/>
              <w:right w:val="nil"/>
            </w:tcBorders>
            <w:shd w:val="pct5" w:color="auto" w:fill="FFFFFF"/>
          </w:tcPr>
          <w:p w14:paraId="5FFE9291" w14:textId="77777777" w:rsidR="001A7792" w:rsidRPr="00FE06BA" w:rsidRDefault="001A7792" w:rsidP="001A7792">
            <w:r w:rsidRPr="00FE06BA">
              <w:t>Effective date</w:t>
            </w:r>
          </w:p>
        </w:tc>
        <w:tc>
          <w:tcPr>
            <w:tcW w:w="144" w:type="dxa"/>
            <w:tcBorders>
              <w:top w:val="single" w:sz="4" w:space="0" w:color="auto"/>
              <w:left w:val="nil"/>
              <w:bottom w:val="single" w:sz="4" w:space="0" w:color="auto"/>
              <w:right w:val="nil"/>
            </w:tcBorders>
            <w:shd w:val="pct12" w:color="auto" w:fill="FFFFFF"/>
          </w:tcPr>
          <w:p w14:paraId="4449A8A1" w14:textId="77777777" w:rsidR="001A7792" w:rsidRPr="000A3E55" w:rsidRDefault="001A7792" w:rsidP="001A7792">
            <w:pPr>
              <w:spacing w:after="0" w:line="240" w:lineRule="auto"/>
              <w:rPr>
                <w:rFonts w:eastAsia="Times New Roman" w:cs="Arial"/>
                <w:b/>
                <w:i/>
                <w:color w:val="330066"/>
              </w:rPr>
            </w:pPr>
          </w:p>
        </w:tc>
        <w:tc>
          <w:tcPr>
            <w:tcW w:w="4838" w:type="dxa"/>
            <w:gridSpan w:val="2"/>
            <w:tcBorders>
              <w:top w:val="single" w:sz="4" w:space="0" w:color="auto"/>
              <w:left w:val="nil"/>
              <w:bottom w:val="single" w:sz="4" w:space="0" w:color="auto"/>
              <w:right w:val="nil"/>
            </w:tcBorders>
          </w:tcPr>
          <w:p w14:paraId="58D70E2A" w14:textId="77777777" w:rsidR="001A7792" w:rsidRPr="000A3E55" w:rsidRDefault="001A7792" w:rsidP="001A7792">
            <w:pPr>
              <w:rPr>
                <w:b/>
                <w:i/>
              </w:rPr>
            </w:pPr>
          </w:p>
        </w:tc>
      </w:tr>
      <w:tr w:rsidR="00617E71" w:rsidRPr="000A3E55" w14:paraId="1A541811" w14:textId="77777777" w:rsidTr="00803FB9">
        <w:tc>
          <w:tcPr>
            <w:tcW w:w="4678" w:type="dxa"/>
            <w:tcBorders>
              <w:top w:val="single" w:sz="4" w:space="0" w:color="auto"/>
              <w:left w:val="nil"/>
              <w:bottom w:val="single" w:sz="4" w:space="0" w:color="auto"/>
              <w:right w:val="nil"/>
            </w:tcBorders>
            <w:shd w:val="pct5" w:color="auto" w:fill="FFFFFF"/>
          </w:tcPr>
          <w:p w14:paraId="437EBF8D" w14:textId="77777777" w:rsidR="00617E71" w:rsidRPr="00FE06BA" w:rsidRDefault="00617E71" w:rsidP="001A7792"/>
        </w:tc>
        <w:tc>
          <w:tcPr>
            <w:tcW w:w="144" w:type="dxa"/>
            <w:tcBorders>
              <w:top w:val="single" w:sz="4" w:space="0" w:color="auto"/>
              <w:left w:val="nil"/>
              <w:bottom w:val="single" w:sz="4" w:space="0" w:color="auto"/>
              <w:right w:val="nil"/>
            </w:tcBorders>
            <w:shd w:val="pct12" w:color="auto" w:fill="FFFFFF"/>
          </w:tcPr>
          <w:p w14:paraId="70876746" w14:textId="77777777" w:rsidR="00617E71" w:rsidRPr="000A3E55" w:rsidRDefault="00617E71" w:rsidP="001A7792">
            <w:pPr>
              <w:spacing w:after="0" w:line="240" w:lineRule="auto"/>
              <w:rPr>
                <w:rFonts w:eastAsia="Times New Roman" w:cs="Arial"/>
                <w:b/>
                <w:i/>
                <w:color w:val="330066"/>
              </w:rPr>
            </w:pPr>
          </w:p>
        </w:tc>
        <w:tc>
          <w:tcPr>
            <w:tcW w:w="4838" w:type="dxa"/>
            <w:gridSpan w:val="2"/>
            <w:tcBorders>
              <w:top w:val="single" w:sz="4" w:space="0" w:color="auto"/>
              <w:left w:val="nil"/>
              <w:bottom w:val="single" w:sz="4" w:space="0" w:color="auto"/>
              <w:right w:val="nil"/>
            </w:tcBorders>
          </w:tcPr>
          <w:p w14:paraId="1591ED95" w14:textId="77777777" w:rsidR="00617E71" w:rsidRPr="000A3E55" w:rsidRDefault="00617E71" w:rsidP="001A7792">
            <w:pPr>
              <w:rPr>
                <w:b/>
                <w:i/>
              </w:rPr>
            </w:pPr>
          </w:p>
        </w:tc>
      </w:tr>
      <w:tr w:rsidR="001A7792" w:rsidRPr="000A3E55" w14:paraId="6D61622C" w14:textId="77777777" w:rsidTr="00803FB9">
        <w:tc>
          <w:tcPr>
            <w:tcW w:w="4678" w:type="dxa"/>
            <w:tcBorders>
              <w:top w:val="single" w:sz="4" w:space="0" w:color="auto"/>
              <w:left w:val="nil"/>
              <w:bottom w:val="single" w:sz="4" w:space="0" w:color="auto"/>
              <w:right w:val="nil"/>
            </w:tcBorders>
            <w:shd w:val="pct5" w:color="auto" w:fill="FFFFFF"/>
            <w:hideMark/>
          </w:tcPr>
          <w:p w14:paraId="272BFABA" w14:textId="77777777" w:rsidR="001A7792" w:rsidRPr="001A7792" w:rsidRDefault="001A7792" w:rsidP="00617E71">
            <w:pPr>
              <w:rPr>
                <w:rFonts w:ascii="Calibri" w:hAnsi="Calibri"/>
                <w:b/>
                <w:i/>
              </w:rPr>
            </w:pPr>
            <w:r w:rsidRPr="000A3E55">
              <w:br w:type="page"/>
            </w:r>
            <w:r w:rsidRPr="000A3E55">
              <w:br w:type="page"/>
            </w:r>
            <w:r w:rsidRPr="000A3E55">
              <w:br w:type="page"/>
            </w:r>
            <w:r>
              <w:rPr>
                <w:rFonts w:ascii="Calibri" w:hAnsi="Calibri"/>
                <w:b/>
                <w:i/>
              </w:rPr>
              <w:t xml:space="preserve"> </w:t>
            </w:r>
          </w:p>
        </w:tc>
        <w:tc>
          <w:tcPr>
            <w:tcW w:w="144" w:type="dxa"/>
            <w:tcBorders>
              <w:top w:val="single" w:sz="4" w:space="0" w:color="auto"/>
              <w:left w:val="nil"/>
              <w:bottom w:val="single" w:sz="4" w:space="0" w:color="auto"/>
              <w:right w:val="nil"/>
            </w:tcBorders>
            <w:shd w:val="pct12" w:color="auto" w:fill="FFFFFF"/>
          </w:tcPr>
          <w:p w14:paraId="5D3E6E09" w14:textId="77777777" w:rsidR="001A7792" w:rsidRPr="000A3E55" w:rsidRDefault="001A7792" w:rsidP="001A7792">
            <w:pPr>
              <w:spacing w:after="0" w:line="240" w:lineRule="auto"/>
              <w:rPr>
                <w:rFonts w:eastAsia="Times New Roman" w:cs="Arial"/>
                <w:b/>
                <w:i/>
                <w:color w:val="330066"/>
              </w:rPr>
            </w:pPr>
          </w:p>
        </w:tc>
        <w:tc>
          <w:tcPr>
            <w:tcW w:w="4838" w:type="dxa"/>
            <w:gridSpan w:val="2"/>
            <w:tcBorders>
              <w:top w:val="single" w:sz="4" w:space="0" w:color="auto"/>
              <w:left w:val="nil"/>
              <w:bottom w:val="single" w:sz="4" w:space="0" w:color="auto"/>
              <w:right w:val="nil"/>
            </w:tcBorders>
            <w:hideMark/>
          </w:tcPr>
          <w:p w14:paraId="3F103F83" w14:textId="77777777" w:rsidR="001A7792" w:rsidRPr="001A7792" w:rsidRDefault="001A7792" w:rsidP="001A7792">
            <w:pPr>
              <w:rPr>
                <w:b/>
                <w:i/>
              </w:rPr>
            </w:pPr>
            <w:r w:rsidRPr="000A3E55">
              <w:rPr>
                <w:b/>
                <w:i/>
              </w:rPr>
              <w:t>This information is included in the following enclosure(s) (please state the name(s) of the enclosure(s) and th</w:t>
            </w:r>
            <w:r>
              <w:rPr>
                <w:b/>
                <w:i/>
              </w:rPr>
              <w:t>e relevant page numbers below):</w:t>
            </w:r>
          </w:p>
        </w:tc>
      </w:tr>
      <w:tr w:rsidR="001A7792" w:rsidRPr="000A3E55" w14:paraId="62963A29" w14:textId="77777777" w:rsidTr="00803FB9">
        <w:trPr>
          <w:gridAfter w:val="1"/>
          <w:wAfter w:w="19" w:type="dxa"/>
        </w:trPr>
        <w:tc>
          <w:tcPr>
            <w:tcW w:w="4678" w:type="dxa"/>
            <w:tcBorders>
              <w:top w:val="single" w:sz="4" w:space="0" w:color="auto"/>
              <w:left w:val="nil"/>
              <w:bottom w:val="single" w:sz="4" w:space="0" w:color="auto"/>
              <w:right w:val="nil"/>
            </w:tcBorders>
            <w:shd w:val="pct5" w:color="auto" w:fill="FFFFFF"/>
          </w:tcPr>
          <w:p w14:paraId="4C002D2B" w14:textId="77777777" w:rsidR="001A7792" w:rsidRPr="00E36F11" w:rsidRDefault="001A7792" w:rsidP="001A7792">
            <w:r w:rsidRPr="00E36F11">
              <w:t xml:space="preserve">a description of financial and non-financial interests or relationships of the person and his/her close relatives to members of the management body and key function holders in the same institution, the parent institution and subsidiaries and shareholders </w:t>
            </w:r>
            <w:r>
              <w:t>(see a</w:t>
            </w:r>
            <w:r w:rsidRPr="00E36F11">
              <w:t xml:space="preserve">rticle 4 (a) (ix) </w:t>
            </w:r>
            <w:r>
              <w:t>DR</w:t>
            </w:r>
            <w:r w:rsidRPr="00E36F11">
              <w:t xml:space="preserve"> 2017/1943)</w:t>
            </w:r>
          </w:p>
          <w:p w14:paraId="3DD195C6" w14:textId="77777777" w:rsidR="001A7792" w:rsidRPr="000A3E55" w:rsidRDefault="001A7792" w:rsidP="001A7792">
            <w:pPr>
              <w:rPr>
                <w:rFonts w:eastAsia="Times" w:cs="Arial"/>
                <w:color w:val="330066"/>
              </w:rPr>
            </w:pPr>
          </w:p>
        </w:tc>
        <w:tc>
          <w:tcPr>
            <w:tcW w:w="144" w:type="dxa"/>
            <w:tcBorders>
              <w:top w:val="single" w:sz="4" w:space="0" w:color="auto"/>
              <w:left w:val="nil"/>
              <w:bottom w:val="single" w:sz="4" w:space="0" w:color="auto"/>
              <w:right w:val="nil"/>
            </w:tcBorders>
            <w:shd w:val="pct12" w:color="auto" w:fill="FFFFFF"/>
          </w:tcPr>
          <w:p w14:paraId="2C6BADE3" w14:textId="77777777" w:rsidR="001A7792" w:rsidRPr="000A3E55" w:rsidRDefault="001A7792" w:rsidP="001A7792">
            <w:pPr>
              <w:spacing w:after="0" w:line="240" w:lineRule="auto"/>
              <w:rPr>
                <w:rFonts w:eastAsia="Times New Roman" w:cs="Arial"/>
                <w:color w:val="330066"/>
              </w:rPr>
            </w:pPr>
          </w:p>
        </w:tc>
        <w:tc>
          <w:tcPr>
            <w:tcW w:w="4819" w:type="dxa"/>
            <w:tcBorders>
              <w:top w:val="single" w:sz="4" w:space="0" w:color="auto"/>
              <w:left w:val="nil"/>
              <w:bottom w:val="single" w:sz="4" w:space="0" w:color="auto"/>
              <w:right w:val="nil"/>
            </w:tcBorders>
          </w:tcPr>
          <w:p w14:paraId="39FAB8F4" w14:textId="77777777" w:rsidR="001A7792" w:rsidRPr="000A3E55" w:rsidRDefault="001A7792" w:rsidP="001A7792">
            <w:pPr>
              <w:spacing w:after="0" w:line="240" w:lineRule="auto"/>
              <w:rPr>
                <w:rFonts w:eastAsia="Times New Roman" w:cs="Arial"/>
                <w:color w:val="330066"/>
              </w:rPr>
            </w:pPr>
          </w:p>
        </w:tc>
      </w:tr>
      <w:tr w:rsidR="001A7792" w:rsidRPr="000A3E55" w14:paraId="46E2B028" w14:textId="77777777" w:rsidTr="00803FB9">
        <w:trPr>
          <w:gridAfter w:val="1"/>
          <w:wAfter w:w="19" w:type="dxa"/>
        </w:trPr>
        <w:tc>
          <w:tcPr>
            <w:tcW w:w="4678" w:type="dxa"/>
            <w:tcBorders>
              <w:top w:val="single" w:sz="4" w:space="0" w:color="auto"/>
              <w:left w:val="nil"/>
              <w:bottom w:val="single" w:sz="4" w:space="0" w:color="auto"/>
              <w:right w:val="nil"/>
            </w:tcBorders>
            <w:shd w:val="pct5" w:color="auto" w:fill="FFFFFF"/>
          </w:tcPr>
          <w:p w14:paraId="384228B6" w14:textId="77777777" w:rsidR="001A7792" w:rsidRPr="00E36F11" w:rsidRDefault="001A7792" w:rsidP="001A7792">
            <w:r w:rsidRPr="00E36F11">
              <w:t>details of the result of any assessment of the suitability of the members of the management body, performed by the applicant itself</w:t>
            </w:r>
            <w:r>
              <w:rPr>
                <w:sz w:val="19"/>
                <w:szCs w:val="19"/>
              </w:rPr>
              <w:t xml:space="preserve"> </w:t>
            </w:r>
            <w:r w:rsidRPr="000A3E55">
              <w:t>(</w:t>
            </w:r>
            <w:r>
              <w:t>see article 4 (a) (x) DR 2017/1943)</w:t>
            </w:r>
          </w:p>
        </w:tc>
        <w:tc>
          <w:tcPr>
            <w:tcW w:w="144" w:type="dxa"/>
            <w:tcBorders>
              <w:top w:val="single" w:sz="4" w:space="0" w:color="auto"/>
              <w:left w:val="nil"/>
              <w:bottom w:val="single" w:sz="4" w:space="0" w:color="auto"/>
              <w:right w:val="nil"/>
            </w:tcBorders>
            <w:shd w:val="pct12" w:color="auto" w:fill="FFFFFF"/>
          </w:tcPr>
          <w:p w14:paraId="5D20A495" w14:textId="77777777" w:rsidR="001A7792" w:rsidRPr="000A3E55" w:rsidRDefault="001A7792" w:rsidP="001A7792">
            <w:pPr>
              <w:spacing w:after="0" w:line="240" w:lineRule="auto"/>
              <w:rPr>
                <w:rFonts w:eastAsia="Times New Roman" w:cs="Arial"/>
                <w:color w:val="330066"/>
              </w:rPr>
            </w:pPr>
          </w:p>
        </w:tc>
        <w:tc>
          <w:tcPr>
            <w:tcW w:w="4819" w:type="dxa"/>
            <w:tcBorders>
              <w:top w:val="single" w:sz="4" w:space="0" w:color="auto"/>
              <w:left w:val="nil"/>
              <w:bottom w:val="single" w:sz="4" w:space="0" w:color="auto"/>
              <w:right w:val="nil"/>
            </w:tcBorders>
          </w:tcPr>
          <w:p w14:paraId="4856D97F" w14:textId="77777777" w:rsidR="001A7792" w:rsidRPr="000A3E55" w:rsidRDefault="001A7792" w:rsidP="001A7792">
            <w:pPr>
              <w:spacing w:after="0" w:line="240" w:lineRule="auto"/>
              <w:rPr>
                <w:rFonts w:eastAsia="Times New Roman" w:cs="Arial"/>
                <w:color w:val="330066"/>
              </w:rPr>
            </w:pPr>
          </w:p>
        </w:tc>
      </w:tr>
      <w:tr w:rsidR="001A7792" w:rsidRPr="000A3E55" w14:paraId="18EA661D" w14:textId="77777777" w:rsidTr="00803FB9">
        <w:trPr>
          <w:gridAfter w:val="1"/>
          <w:wAfter w:w="19" w:type="dxa"/>
        </w:trPr>
        <w:tc>
          <w:tcPr>
            <w:tcW w:w="4678" w:type="dxa"/>
            <w:tcBorders>
              <w:top w:val="single" w:sz="4" w:space="0" w:color="auto"/>
              <w:left w:val="nil"/>
              <w:bottom w:val="single" w:sz="4" w:space="0" w:color="auto"/>
              <w:right w:val="nil"/>
            </w:tcBorders>
            <w:shd w:val="pct5" w:color="auto" w:fill="FFFFFF"/>
          </w:tcPr>
          <w:p w14:paraId="018CD244" w14:textId="77777777" w:rsidR="001A7792" w:rsidRPr="000A3E55" w:rsidRDefault="001A7792" w:rsidP="001A7792">
            <w:pPr>
              <w:rPr>
                <w:sz w:val="16"/>
                <w:szCs w:val="16"/>
              </w:rPr>
            </w:pPr>
            <w:r w:rsidRPr="000A3E55">
              <w:t xml:space="preserve">information on the </w:t>
            </w:r>
            <w:r>
              <w:t xml:space="preserve">minimum </w:t>
            </w:r>
            <w:r w:rsidRPr="000A3E55">
              <w:t xml:space="preserve">time to be devoted </w:t>
            </w:r>
            <w:r>
              <w:t>to functions within the firm, as referred to in a</w:t>
            </w:r>
            <w:r w:rsidRPr="000A3E55">
              <w:t xml:space="preserve">rticle 4 (a) (xi) </w:t>
            </w:r>
            <w:r>
              <w:t>DR</w:t>
            </w:r>
            <w:r w:rsidRPr="000A3E55">
              <w:t xml:space="preserve"> 2017/1943</w:t>
            </w:r>
          </w:p>
          <w:p w14:paraId="126B251E" w14:textId="77777777" w:rsidR="001A7792" w:rsidRPr="000A3E55" w:rsidRDefault="001A7792" w:rsidP="001A7792">
            <w:pPr>
              <w:rPr>
                <w:sz w:val="16"/>
                <w:szCs w:val="16"/>
              </w:rPr>
            </w:pPr>
            <w:r w:rsidRPr="000A3E55">
              <w:rPr>
                <w:sz w:val="16"/>
                <w:szCs w:val="16"/>
              </w:rPr>
              <w:t>Time to be devoted is defined in particular as the time required by this function when compared to other functions/activities at other companies or organisations.</w:t>
            </w:r>
          </w:p>
        </w:tc>
        <w:tc>
          <w:tcPr>
            <w:tcW w:w="144" w:type="dxa"/>
            <w:tcBorders>
              <w:top w:val="single" w:sz="4" w:space="0" w:color="auto"/>
              <w:left w:val="nil"/>
              <w:bottom w:val="single" w:sz="4" w:space="0" w:color="auto"/>
              <w:right w:val="nil"/>
            </w:tcBorders>
            <w:shd w:val="pct12" w:color="auto" w:fill="FFFFFF"/>
          </w:tcPr>
          <w:p w14:paraId="337B9C09" w14:textId="77777777" w:rsidR="001A7792" w:rsidRPr="000A3E55" w:rsidRDefault="001A7792" w:rsidP="001A7792">
            <w:pPr>
              <w:spacing w:after="0" w:line="240" w:lineRule="auto"/>
              <w:rPr>
                <w:rFonts w:eastAsia="Times New Roman" w:cs="Arial"/>
                <w:color w:val="330066"/>
              </w:rPr>
            </w:pPr>
          </w:p>
        </w:tc>
        <w:tc>
          <w:tcPr>
            <w:tcW w:w="4819" w:type="dxa"/>
            <w:tcBorders>
              <w:top w:val="single" w:sz="4" w:space="0" w:color="auto"/>
              <w:left w:val="nil"/>
              <w:bottom w:val="single" w:sz="4" w:space="0" w:color="auto"/>
              <w:right w:val="nil"/>
            </w:tcBorders>
          </w:tcPr>
          <w:p w14:paraId="281DC3B9" w14:textId="77777777" w:rsidR="001A7792" w:rsidRPr="000A3E55" w:rsidRDefault="001A7792" w:rsidP="001A7792">
            <w:pPr>
              <w:spacing w:after="0" w:line="240" w:lineRule="auto"/>
              <w:rPr>
                <w:rFonts w:eastAsia="Times New Roman" w:cs="Arial"/>
                <w:color w:val="330066"/>
              </w:rPr>
            </w:pPr>
          </w:p>
        </w:tc>
      </w:tr>
      <w:tr w:rsidR="001A7792" w:rsidRPr="000A3E55" w14:paraId="53E7DB6D" w14:textId="77777777" w:rsidTr="00803FB9">
        <w:trPr>
          <w:gridAfter w:val="1"/>
          <w:wAfter w:w="19" w:type="dxa"/>
        </w:trPr>
        <w:tc>
          <w:tcPr>
            <w:tcW w:w="4678" w:type="dxa"/>
            <w:tcBorders>
              <w:top w:val="single" w:sz="4" w:space="0" w:color="auto"/>
              <w:left w:val="nil"/>
              <w:bottom w:val="single" w:sz="4" w:space="0" w:color="auto"/>
              <w:right w:val="nil"/>
            </w:tcBorders>
            <w:shd w:val="pct5" w:color="auto" w:fill="FFFFFF"/>
          </w:tcPr>
          <w:p w14:paraId="735C36D1" w14:textId="77777777" w:rsidR="001A7792" w:rsidRPr="00094BA5" w:rsidRDefault="001A7792" w:rsidP="001A7792">
            <w:r w:rsidRPr="000A3E55">
              <w:t xml:space="preserve">information on human and financial resources </w:t>
            </w:r>
            <w:r>
              <w:t>devoted to induction and training (see a</w:t>
            </w:r>
            <w:r w:rsidRPr="000A3E55">
              <w:t xml:space="preserve">rticle 4 (a) (xii) </w:t>
            </w:r>
            <w:r>
              <w:t xml:space="preserve">DR 2017/1943) </w:t>
            </w:r>
          </w:p>
        </w:tc>
        <w:tc>
          <w:tcPr>
            <w:tcW w:w="144" w:type="dxa"/>
            <w:tcBorders>
              <w:top w:val="single" w:sz="4" w:space="0" w:color="auto"/>
              <w:left w:val="nil"/>
              <w:bottom w:val="single" w:sz="4" w:space="0" w:color="auto"/>
              <w:right w:val="nil"/>
            </w:tcBorders>
            <w:shd w:val="pct12" w:color="auto" w:fill="FFFFFF"/>
          </w:tcPr>
          <w:p w14:paraId="33AFF509" w14:textId="77777777" w:rsidR="001A7792" w:rsidRPr="000A3E55" w:rsidRDefault="001A7792" w:rsidP="001A7792">
            <w:pPr>
              <w:spacing w:after="0" w:line="240" w:lineRule="auto"/>
              <w:rPr>
                <w:rFonts w:eastAsia="Times New Roman" w:cs="Arial"/>
                <w:color w:val="330066"/>
              </w:rPr>
            </w:pPr>
          </w:p>
        </w:tc>
        <w:tc>
          <w:tcPr>
            <w:tcW w:w="4819" w:type="dxa"/>
            <w:tcBorders>
              <w:top w:val="single" w:sz="4" w:space="0" w:color="auto"/>
              <w:left w:val="nil"/>
              <w:bottom w:val="single" w:sz="4" w:space="0" w:color="auto"/>
              <w:right w:val="nil"/>
            </w:tcBorders>
          </w:tcPr>
          <w:p w14:paraId="00583B4E" w14:textId="77777777" w:rsidR="001A7792" w:rsidRPr="000A3E55" w:rsidRDefault="001A7792" w:rsidP="001A7792">
            <w:pPr>
              <w:spacing w:after="0" w:line="240" w:lineRule="auto"/>
              <w:rPr>
                <w:rFonts w:eastAsia="Times New Roman" w:cs="Arial"/>
                <w:color w:val="330066"/>
              </w:rPr>
            </w:pPr>
          </w:p>
        </w:tc>
      </w:tr>
      <w:tr w:rsidR="001A7792" w:rsidRPr="000A3E55" w14:paraId="5779506A" w14:textId="77777777" w:rsidTr="00803FB9">
        <w:trPr>
          <w:gridAfter w:val="1"/>
          <w:wAfter w:w="19" w:type="dxa"/>
        </w:trPr>
        <w:tc>
          <w:tcPr>
            <w:tcW w:w="4678" w:type="dxa"/>
            <w:tcBorders>
              <w:top w:val="single" w:sz="4" w:space="0" w:color="auto"/>
              <w:left w:val="nil"/>
              <w:bottom w:val="single" w:sz="4" w:space="0" w:color="auto"/>
              <w:right w:val="nil"/>
            </w:tcBorders>
            <w:shd w:val="pct5" w:color="auto" w:fill="FFFFFF"/>
          </w:tcPr>
          <w:p w14:paraId="00D9D85E" w14:textId="77777777" w:rsidR="001A7792" w:rsidRPr="00081ED5" w:rsidRDefault="001A7792" w:rsidP="001A7792">
            <w:r w:rsidRPr="000A3E55">
              <w:t>A list of the staff of the internal management and control</w:t>
            </w:r>
            <w:r>
              <w:t xml:space="preserve"> bodies (see a</w:t>
            </w:r>
            <w:r w:rsidRPr="000A3E55">
              <w:t xml:space="preserve">rticle 4 (b) </w:t>
            </w:r>
            <w:r>
              <w:t>DR</w:t>
            </w:r>
            <w:r w:rsidRPr="000A3E55">
              <w:t xml:space="preserve"> 2017/1943) </w:t>
            </w:r>
          </w:p>
        </w:tc>
        <w:tc>
          <w:tcPr>
            <w:tcW w:w="144" w:type="dxa"/>
            <w:tcBorders>
              <w:top w:val="single" w:sz="4" w:space="0" w:color="auto"/>
              <w:left w:val="nil"/>
              <w:bottom w:val="single" w:sz="4" w:space="0" w:color="auto"/>
              <w:right w:val="nil"/>
            </w:tcBorders>
            <w:shd w:val="pct12" w:color="auto" w:fill="FFFFFF"/>
          </w:tcPr>
          <w:p w14:paraId="404E4200" w14:textId="77777777" w:rsidR="001A7792" w:rsidRPr="000A3E55" w:rsidRDefault="001A7792" w:rsidP="001A7792">
            <w:pPr>
              <w:spacing w:after="0" w:line="240" w:lineRule="auto"/>
              <w:rPr>
                <w:rFonts w:eastAsia="Times New Roman" w:cs="Arial"/>
                <w:color w:val="330066"/>
              </w:rPr>
            </w:pPr>
          </w:p>
        </w:tc>
        <w:tc>
          <w:tcPr>
            <w:tcW w:w="4819" w:type="dxa"/>
            <w:tcBorders>
              <w:top w:val="single" w:sz="4" w:space="0" w:color="auto"/>
              <w:left w:val="nil"/>
              <w:bottom w:val="single" w:sz="4" w:space="0" w:color="auto"/>
              <w:right w:val="nil"/>
            </w:tcBorders>
          </w:tcPr>
          <w:p w14:paraId="1546C828" w14:textId="77777777" w:rsidR="001A7792" w:rsidRPr="000A3E55" w:rsidRDefault="001A7792" w:rsidP="001A7792">
            <w:pPr>
              <w:spacing w:after="0" w:line="240" w:lineRule="auto"/>
              <w:rPr>
                <w:rFonts w:eastAsia="Times New Roman" w:cs="Arial"/>
                <w:color w:val="330066"/>
              </w:rPr>
            </w:pPr>
          </w:p>
        </w:tc>
      </w:tr>
    </w:tbl>
    <w:p w14:paraId="640EE0F3" w14:textId="77777777" w:rsidR="00DB41CD" w:rsidRPr="000A3E55" w:rsidRDefault="00DB41CD" w:rsidP="00DB41CD">
      <w:pPr>
        <w:spacing w:after="0" w:line="240" w:lineRule="auto"/>
        <w:rPr>
          <w:rFonts w:ascii="Calibri" w:eastAsia="Times New Roman" w:hAnsi="Calibri" w:cs="Arial"/>
          <w:b/>
          <w:bCs/>
          <w:color w:val="330066"/>
          <w:sz w:val="20"/>
          <w:szCs w:val="20"/>
        </w:rPr>
      </w:pPr>
    </w:p>
    <w:p w14:paraId="29D8C071" w14:textId="77777777" w:rsidR="001A7792" w:rsidRDefault="001A7792">
      <w:pPr>
        <w:rPr>
          <w:b/>
        </w:rPr>
      </w:pPr>
      <w:r>
        <w:rPr>
          <w:b/>
        </w:rPr>
        <w:br w:type="page"/>
      </w:r>
    </w:p>
    <w:p w14:paraId="7B5B73AF" w14:textId="77777777" w:rsidR="0053251E" w:rsidRPr="000A3E55" w:rsidRDefault="00997128" w:rsidP="00B14965">
      <w:pPr>
        <w:ind w:left="284"/>
        <w:contextualSpacing/>
        <w:rPr>
          <w:b/>
        </w:rPr>
      </w:pPr>
      <w:r>
        <w:rPr>
          <w:b/>
        </w:rPr>
        <w:lastRenderedPageBreak/>
        <w:t>Annex 4</w:t>
      </w:r>
      <w:r w:rsidR="00617E71">
        <w:rPr>
          <w:b/>
        </w:rPr>
        <w:t xml:space="preserve"> Information on the o</w:t>
      </w:r>
      <w:r w:rsidR="00215E47" w:rsidRPr="000A3E55">
        <w:rPr>
          <w:b/>
        </w:rPr>
        <w:t xml:space="preserve">rganisation </w:t>
      </w:r>
      <w:r w:rsidR="00005FED">
        <w:rPr>
          <w:b/>
        </w:rPr>
        <w:t>(as referred to in a</w:t>
      </w:r>
      <w:r w:rsidR="00215E47" w:rsidRPr="000A3E55">
        <w:rPr>
          <w:b/>
        </w:rPr>
        <w:t xml:space="preserve">rticle 6 of </w:t>
      </w:r>
      <w:r w:rsidR="0049458B">
        <w:rPr>
          <w:b/>
        </w:rPr>
        <w:t>DR</w:t>
      </w:r>
      <w:r w:rsidR="00215E47" w:rsidRPr="000A3E55">
        <w:rPr>
          <w:b/>
        </w:rPr>
        <w:t xml:space="preserve"> 2017/1943)</w:t>
      </w:r>
    </w:p>
    <w:p w14:paraId="7E71E919" w14:textId="77777777" w:rsidR="00DB41CD" w:rsidRPr="000A3E55" w:rsidRDefault="00DB41CD" w:rsidP="00DB41CD">
      <w:pPr>
        <w:tabs>
          <w:tab w:val="left" w:pos="-1440"/>
          <w:tab w:val="left" w:pos="-720"/>
          <w:tab w:val="left" w:pos="480"/>
          <w:tab w:val="left" w:pos="840"/>
        </w:tabs>
        <w:suppressAutoHyphens/>
        <w:spacing w:after="0" w:line="240" w:lineRule="auto"/>
        <w:rPr>
          <w:rFonts w:ascii="Calibri" w:eastAsia="Times New Roman" w:hAnsi="Calibri" w:cs="Arial"/>
          <w:color w:val="330066"/>
          <w:sz w:val="20"/>
          <w:szCs w:val="20"/>
        </w:rPr>
      </w:pPr>
    </w:p>
    <w:tbl>
      <w:tblPr>
        <w:tblW w:w="9413" w:type="dxa"/>
        <w:tblInd w:w="142" w:type="dxa"/>
        <w:tblBorders>
          <w:top w:val="single" w:sz="12" w:space="0" w:color="008000"/>
          <w:bottom w:val="single" w:sz="12" w:space="0" w:color="008000"/>
        </w:tblBorders>
        <w:tblLayout w:type="fixed"/>
        <w:tblCellMar>
          <w:left w:w="0" w:type="dxa"/>
          <w:right w:w="0" w:type="dxa"/>
        </w:tblCellMar>
        <w:tblLook w:val="04A0" w:firstRow="1" w:lastRow="0" w:firstColumn="1" w:lastColumn="0" w:noHBand="0" w:noVBand="1"/>
      </w:tblPr>
      <w:tblGrid>
        <w:gridCol w:w="4536"/>
        <w:gridCol w:w="144"/>
        <w:gridCol w:w="4733"/>
      </w:tblGrid>
      <w:tr w:rsidR="00DB41CD" w:rsidRPr="000A3E55" w14:paraId="4CCA0D75" w14:textId="77777777" w:rsidTr="0049458B">
        <w:tc>
          <w:tcPr>
            <w:tcW w:w="4536" w:type="dxa"/>
            <w:tcBorders>
              <w:top w:val="single" w:sz="4" w:space="0" w:color="auto"/>
              <w:left w:val="nil"/>
              <w:bottom w:val="single" w:sz="4" w:space="0" w:color="auto"/>
              <w:right w:val="nil"/>
            </w:tcBorders>
            <w:shd w:val="pct5" w:color="auto" w:fill="FFFFFF"/>
          </w:tcPr>
          <w:p w14:paraId="73084CE7" w14:textId="77777777" w:rsidR="00094BA5" w:rsidRDefault="00081ED5" w:rsidP="00124DD2">
            <w:pPr>
              <w:rPr>
                <w:rFonts w:ascii="Calibri" w:hAnsi="Calibri"/>
                <w:b/>
                <w:i/>
              </w:rPr>
            </w:pPr>
            <w:r>
              <w:rPr>
                <w:rFonts w:ascii="Calibri" w:hAnsi="Calibri"/>
                <w:b/>
                <w:i/>
              </w:rPr>
              <w:t xml:space="preserve">If this application is based on article 2:99a </w:t>
            </w:r>
            <w:proofErr w:type="spellStart"/>
            <w:r>
              <w:rPr>
                <w:rFonts w:ascii="Calibri" w:hAnsi="Calibri"/>
                <w:b/>
                <w:i/>
              </w:rPr>
              <w:t>Wft</w:t>
            </w:r>
            <w:proofErr w:type="spellEnd"/>
            <w:r>
              <w:rPr>
                <w:rFonts w:ascii="Calibri" w:hAnsi="Calibri"/>
                <w:b/>
                <w:i/>
              </w:rPr>
              <w:t>, the information required concerns</w:t>
            </w:r>
            <w:r w:rsidR="00094BA5">
              <w:rPr>
                <w:rFonts w:ascii="Calibri" w:hAnsi="Calibri"/>
                <w:b/>
                <w:i/>
              </w:rPr>
              <w:t xml:space="preserve"> the branch office specifically. However if a large part is performed by the head office please include the information and references on that also.</w:t>
            </w:r>
          </w:p>
          <w:p w14:paraId="207B3E9E" w14:textId="77777777" w:rsidR="00081ED5" w:rsidRDefault="00081ED5" w:rsidP="00124DD2">
            <w:pPr>
              <w:rPr>
                <w:rFonts w:ascii="Calibri" w:hAnsi="Calibri"/>
                <w:b/>
                <w:i/>
              </w:rPr>
            </w:pPr>
            <w:r>
              <w:rPr>
                <w:rFonts w:ascii="Calibri" w:hAnsi="Calibri"/>
                <w:b/>
                <w:i/>
              </w:rPr>
              <w:t xml:space="preserve">For an application based on 2:99b </w:t>
            </w:r>
            <w:proofErr w:type="spellStart"/>
            <w:r>
              <w:rPr>
                <w:rFonts w:ascii="Calibri" w:hAnsi="Calibri"/>
                <w:b/>
                <w:i/>
              </w:rPr>
              <w:t>Wft</w:t>
            </w:r>
            <w:proofErr w:type="spellEnd"/>
            <w:r>
              <w:rPr>
                <w:rFonts w:ascii="Calibri" w:hAnsi="Calibri"/>
                <w:b/>
                <w:i/>
              </w:rPr>
              <w:t>, please refer to the investment services and activities as performed in the Netherlands</w:t>
            </w:r>
            <w:r w:rsidR="006A5212">
              <w:rPr>
                <w:rFonts w:ascii="Calibri" w:hAnsi="Calibri"/>
                <w:b/>
                <w:i/>
              </w:rPr>
              <w:t xml:space="preserve"> and the organisation in the third country.</w:t>
            </w:r>
          </w:p>
          <w:p w14:paraId="331E0140" w14:textId="77777777" w:rsidR="00DB41CD" w:rsidRPr="006A5212" w:rsidRDefault="00DB41CD" w:rsidP="00DB41CD">
            <w:pPr>
              <w:rPr>
                <w:b/>
                <w:i/>
              </w:rPr>
            </w:pPr>
          </w:p>
        </w:tc>
        <w:tc>
          <w:tcPr>
            <w:tcW w:w="144" w:type="dxa"/>
            <w:tcBorders>
              <w:top w:val="single" w:sz="4" w:space="0" w:color="auto"/>
              <w:left w:val="nil"/>
              <w:bottom w:val="single" w:sz="4" w:space="0" w:color="auto"/>
              <w:right w:val="nil"/>
            </w:tcBorders>
            <w:shd w:val="pct12" w:color="auto" w:fill="FFFFFF"/>
          </w:tcPr>
          <w:p w14:paraId="2122C387" w14:textId="77777777" w:rsidR="00DB41CD" w:rsidRPr="000A3E55" w:rsidRDefault="00DB41CD" w:rsidP="00DB41CD">
            <w:pPr>
              <w:spacing w:after="0" w:line="240" w:lineRule="auto"/>
              <w:rPr>
                <w:rFonts w:ascii="Calibri" w:eastAsia="Times New Roman" w:hAnsi="Calibri" w:cs="Arial"/>
                <w:b/>
                <w:i/>
                <w:color w:val="330066"/>
              </w:rPr>
            </w:pPr>
          </w:p>
        </w:tc>
        <w:tc>
          <w:tcPr>
            <w:tcW w:w="4733" w:type="dxa"/>
            <w:tcBorders>
              <w:top w:val="single" w:sz="4" w:space="0" w:color="auto"/>
              <w:left w:val="nil"/>
              <w:bottom w:val="single" w:sz="4" w:space="0" w:color="auto"/>
              <w:right w:val="nil"/>
            </w:tcBorders>
          </w:tcPr>
          <w:p w14:paraId="4DB3CC43" w14:textId="77777777" w:rsidR="00DB41CD" w:rsidRPr="000A3E55" w:rsidRDefault="00DB41CD" w:rsidP="00DB41CD">
            <w:pPr>
              <w:rPr>
                <w:rFonts w:ascii="Calibri" w:hAnsi="Calibri"/>
                <w:b/>
                <w:i/>
              </w:rPr>
            </w:pPr>
            <w:r w:rsidRPr="000A3E55">
              <w:rPr>
                <w:rFonts w:ascii="Calibri" w:hAnsi="Calibri"/>
                <w:b/>
                <w:i/>
              </w:rPr>
              <w:t>This information is included in the following enclosure(s) (please state the name(s) of the enclosure(s) and the relevant sections and page numbers here):</w:t>
            </w:r>
          </w:p>
          <w:p w14:paraId="05B0055A" w14:textId="77777777" w:rsidR="00DB41CD" w:rsidRPr="000A3E55" w:rsidRDefault="00DB41CD" w:rsidP="00DB41CD">
            <w:pPr>
              <w:rPr>
                <w:rFonts w:ascii="Calibri" w:hAnsi="Calibri"/>
                <w:b/>
                <w:i/>
              </w:rPr>
            </w:pPr>
          </w:p>
        </w:tc>
      </w:tr>
      <w:tr w:rsidR="00DB41CD" w:rsidRPr="000A3E55" w14:paraId="14ECA14A" w14:textId="77777777" w:rsidTr="0049458B">
        <w:tc>
          <w:tcPr>
            <w:tcW w:w="4536" w:type="dxa"/>
            <w:tcBorders>
              <w:top w:val="single" w:sz="4" w:space="0" w:color="auto"/>
              <w:left w:val="nil"/>
              <w:bottom w:val="single" w:sz="4" w:space="0" w:color="auto"/>
              <w:right w:val="nil"/>
            </w:tcBorders>
            <w:shd w:val="pct5" w:color="auto" w:fill="FFFFFF"/>
          </w:tcPr>
          <w:p w14:paraId="7E733171" w14:textId="77777777" w:rsidR="00DB41CD" w:rsidRPr="000A3E55" w:rsidRDefault="00DB41CD" w:rsidP="00DB41CD">
            <w:pPr>
              <w:rPr>
                <w:rFonts w:ascii="Calibri" w:hAnsi="Calibri"/>
              </w:rPr>
            </w:pPr>
            <w:r w:rsidRPr="000A3E55">
              <w:rPr>
                <w:rFonts w:ascii="Calibri" w:hAnsi="Calibri"/>
              </w:rPr>
              <w:t>detai</w:t>
            </w:r>
            <w:r w:rsidR="00005FED">
              <w:rPr>
                <w:rFonts w:ascii="Calibri" w:hAnsi="Calibri"/>
              </w:rPr>
              <w:t>ls of the firm’s auditors (see a</w:t>
            </w:r>
            <w:r w:rsidRPr="000A3E55">
              <w:rPr>
                <w:rFonts w:ascii="Calibri" w:hAnsi="Calibri"/>
              </w:rPr>
              <w:t xml:space="preserve">rticle 6 (b) </w:t>
            </w:r>
            <w:r w:rsidR="0049458B">
              <w:rPr>
                <w:rFonts w:ascii="Calibri" w:hAnsi="Calibri"/>
              </w:rPr>
              <w:t>DR</w:t>
            </w:r>
            <w:r w:rsidRPr="000A3E55">
              <w:rPr>
                <w:rFonts w:ascii="Calibri" w:hAnsi="Calibri"/>
              </w:rPr>
              <w:t xml:space="preserve"> 2017/1943)</w:t>
            </w:r>
          </w:p>
          <w:p w14:paraId="243CCA7E" w14:textId="77777777" w:rsidR="00DB41CD" w:rsidRPr="000A3E55" w:rsidRDefault="00DB41CD" w:rsidP="00DB41CD">
            <w:pPr>
              <w:spacing w:after="0" w:line="240" w:lineRule="auto"/>
              <w:rPr>
                <w:rFonts w:ascii="Calibri" w:eastAsia="Times" w:hAnsi="Calibri" w:cs="Arial"/>
                <w:color w:val="330066"/>
              </w:rPr>
            </w:pPr>
          </w:p>
        </w:tc>
        <w:tc>
          <w:tcPr>
            <w:tcW w:w="144" w:type="dxa"/>
            <w:tcBorders>
              <w:top w:val="single" w:sz="4" w:space="0" w:color="auto"/>
              <w:left w:val="nil"/>
              <w:bottom w:val="single" w:sz="4" w:space="0" w:color="auto"/>
              <w:right w:val="nil"/>
            </w:tcBorders>
            <w:shd w:val="pct12" w:color="auto" w:fill="FFFFFF"/>
          </w:tcPr>
          <w:p w14:paraId="4B3102CA" w14:textId="77777777" w:rsidR="00DB41CD" w:rsidRPr="000A3E55" w:rsidRDefault="00DB41CD" w:rsidP="00DB41CD">
            <w:pPr>
              <w:spacing w:after="0" w:line="240" w:lineRule="auto"/>
              <w:rPr>
                <w:rFonts w:ascii="Calibri" w:eastAsia="Times New Roman" w:hAnsi="Calibri" w:cs="Arial"/>
                <w:color w:val="330066"/>
              </w:rPr>
            </w:pPr>
          </w:p>
        </w:tc>
        <w:tc>
          <w:tcPr>
            <w:tcW w:w="4733" w:type="dxa"/>
            <w:tcBorders>
              <w:top w:val="single" w:sz="4" w:space="0" w:color="auto"/>
              <w:left w:val="nil"/>
              <w:bottom w:val="single" w:sz="4" w:space="0" w:color="auto"/>
              <w:right w:val="nil"/>
            </w:tcBorders>
          </w:tcPr>
          <w:p w14:paraId="3244D002" w14:textId="77777777" w:rsidR="00DB41CD" w:rsidRPr="000A3E55" w:rsidRDefault="00DB41CD" w:rsidP="00DB41CD">
            <w:pPr>
              <w:tabs>
                <w:tab w:val="left" w:pos="426"/>
              </w:tabs>
              <w:spacing w:after="0" w:line="240" w:lineRule="auto"/>
              <w:outlineLvl w:val="0"/>
              <w:rPr>
                <w:rFonts w:ascii="Calibri" w:eastAsia="Times New Roman" w:hAnsi="Calibri" w:cs="Arial"/>
                <w:b/>
                <w:color w:val="330066"/>
              </w:rPr>
            </w:pPr>
          </w:p>
        </w:tc>
      </w:tr>
      <w:tr w:rsidR="00DB41CD" w:rsidRPr="000A3E55" w14:paraId="28AF3BD1" w14:textId="77777777" w:rsidTr="0049458B">
        <w:tc>
          <w:tcPr>
            <w:tcW w:w="4536" w:type="dxa"/>
            <w:tcBorders>
              <w:top w:val="single" w:sz="4" w:space="0" w:color="auto"/>
              <w:left w:val="nil"/>
              <w:bottom w:val="single" w:sz="4" w:space="0" w:color="auto"/>
              <w:right w:val="nil"/>
            </w:tcBorders>
            <w:shd w:val="pct5" w:color="auto" w:fill="FFFFFF"/>
          </w:tcPr>
          <w:p w14:paraId="54F44F13" w14:textId="77777777" w:rsidR="00DB41CD" w:rsidRPr="000A3E55" w:rsidRDefault="00DB41CD" w:rsidP="00F47D9B">
            <w:pPr>
              <w:rPr>
                <w:rFonts w:ascii="Calibri" w:hAnsi="Calibri"/>
              </w:rPr>
            </w:pPr>
            <w:r w:rsidRPr="000A3E55">
              <w:rPr>
                <w:rFonts w:ascii="Calibri" w:hAnsi="Calibri"/>
              </w:rPr>
              <w:t>the organisational structure and</w:t>
            </w:r>
            <w:r w:rsidR="00005FED">
              <w:rPr>
                <w:rFonts w:ascii="Calibri" w:hAnsi="Calibri"/>
              </w:rPr>
              <w:t xml:space="preserve"> internal control systems (see a</w:t>
            </w:r>
            <w:r w:rsidRPr="000A3E55">
              <w:rPr>
                <w:rFonts w:ascii="Calibri" w:hAnsi="Calibri"/>
              </w:rPr>
              <w:t xml:space="preserve">rticle 6(c) </w:t>
            </w:r>
            <w:r w:rsidR="0049458B">
              <w:rPr>
                <w:rFonts w:ascii="Calibri" w:hAnsi="Calibri"/>
              </w:rPr>
              <w:t>DR</w:t>
            </w:r>
            <w:r w:rsidRPr="000A3E55">
              <w:rPr>
                <w:rFonts w:ascii="Calibri" w:hAnsi="Calibri"/>
              </w:rPr>
              <w:t xml:space="preserve"> 2017/1943), consisting of 6(c)(</w:t>
            </w:r>
            <w:proofErr w:type="spellStart"/>
            <w:r w:rsidRPr="000A3E55">
              <w:rPr>
                <w:rFonts w:ascii="Calibri" w:hAnsi="Calibri"/>
              </w:rPr>
              <w:t>i</w:t>
            </w:r>
            <w:proofErr w:type="spellEnd"/>
            <w:r w:rsidRPr="000A3E55">
              <w:rPr>
                <w:rFonts w:ascii="Calibri" w:hAnsi="Calibri"/>
              </w:rPr>
              <w:t>) to (iv))</w:t>
            </w:r>
          </w:p>
          <w:p w14:paraId="3B8A78C6" w14:textId="77777777" w:rsidR="00F47D9B" w:rsidRPr="000A3E55" w:rsidRDefault="00F47D9B" w:rsidP="00F47D9B">
            <w:pPr>
              <w:rPr>
                <w:rFonts w:ascii="Calibri" w:hAnsi="Calibri"/>
              </w:rPr>
            </w:pPr>
          </w:p>
        </w:tc>
        <w:tc>
          <w:tcPr>
            <w:tcW w:w="144" w:type="dxa"/>
            <w:tcBorders>
              <w:top w:val="single" w:sz="4" w:space="0" w:color="auto"/>
              <w:left w:val="nil"/>
              <w:bottom w:val="single" w:sz="4" w:space="0" w:color="auto"/>
              <w:right w:val="nil"/>
            </w:tcBorders>
            <w:shd w:val="pct12" w:color="auto" w:fill="FFFFFF"/>
          </w:tcPr>
          <w:p w14:paraId="4A481AD9" w14:textId="77777777" w:rsidR="00DB41CD" w:rsidRPr="000A3E55" w:rsidRDefault="00DB41CD" w:rsidP="00DB41CD">
            <w:pPr>
              <w:spacing w:after="0" w:line="240" w:lineRule="auto"/>
              <w:rPr>
                <w:rFonts w:ascii="Calibri" w:eastAsia="Times New Roman" w:hAnsi="Calibri" w:cs="Arial"/>
                <w:color w:val="330066"/>
              </w:rPr>
            </w:pPr>
          </w:p>
        </w:tc>
        <w:tc>
          <w:tcPr>
            <w:tcW w:w="4733" w:type="dxa"/>
            <w:tcBorders>
              <w:top w:val="single" w:sz="4" w:space="0" w:color="auto"/>
              <w:left w:val="nil"/>
              <w:bottom w:val="single" w:sz="4" w:space="0" w:color="auto"/>
              <w:right w:val="nil"/>
            </w:tcBorders>
          </w:tcPr>
          <w:p w14:paraId="4B3AC548" w14:textId="77777777" w:rsidR="00DB41CD" w:rsidRPr="000A3E55" w:rsidRDefault="00DB41CD" w:rsidP="00DB41CD">
            <w:pPr>
              <w:tabs>
                <w:tab w:val="left" w:pos="426"/>
              </w:tabs>
              <w:spacing w:after="0" w:line="240" w:lineRule="auto"/>
              <w:outlineLvl w:val="0"/>
              <w:rPr>
                <w:rFonts w:ascii="Calibri" w:eastAsia="Times New Roman" w:hAnsi="Calibri" w:cs="Arial"/>
                <w:b/>
                <w:color w:val="330066"/>
              </w:rPr>
            </w:pPr>
          </w:p>
        </w:tc>
      </w:tr>
      <w:tr w:rsidR="00DB41CD" w:rsidRPr="000A3E55" w14:paraId="33271191" w14:textId="77777777" w:rsidTr="0049458B">
        <w:tc>
          <w:tcPr>
            <w:tcW w:w="4536" w:type="dxa"/>
            <w:tcBorders>
              <w:top w:val="single" w:sz="4" w:space="0" w:color="auto"/>
              <w:left w:val="nil"/>
              <w:bottom w:val="single" w:sz="4" w:space="0" w:color="auto"/>
              <w:right w:val="nil"/>
            </w:tcBorders>
            <w:shd w:val="pct5" w:color="auto" w:fill="FFFFFF"/>
          </w:tcPr>
          <w:p w14:paraId="6596808A" w14:textId="77777777" w:rsidR="00DB41CD" w:rsidRPr="000A3E55" w:rsidRDefault="00DB41CD" w:rsidP="00DB41CD">
            <w:pPr>
              <w:rPr>
                <w:rFonts w:ascii="Calibri" w:hAnsi="Calibri"/>
              </w:rPr>
            </w:pPr>
            <w:r w:rsidRPr="000A3E55">
              <w:rPr>
                <w:rFonts w:ascii="Calibri" w:hAnsi="Calibri"/>
              </w:rPr>
              <w:t>the information relating to the investor compensation scheme</w:t>
            </w:r>
            <w:r w:rsidR="00005FED">
              <w:rPr>
                <w:rFonts w:ascii="Calibri" w:hAnsi="Calibri"/>
              </w:rPr>
              <w:t xml:space="preserve"> (see a</w:t>
            </w:r>
            <w:r w:rsidRPr="000A3E55">
              <w:rPr>
                <w:rFonts w:ascii="Calibri" w:hAnsi="Calibri"/>
              </w:rPr>
              <w:t xml:space="preserve">rticle 6(d) </w:t>
            </w:r>
            <w:r w:rsidR="0049458B">
              <w:rPr>
                <w:rFonts w:ascii="Calibri" w:hAnsi="Calibri"/>
              </w:rPr>
              <w:t>DR</w:t>
            </w:r>
            <w:r w:rsidRPr="000A3E55">
              <w:rPr>
                <w:rFonts w:ascii="Calibri" w:hAnsi="Calibri"/>
              </w:rPr>
              <w:t xml:space="preserve"> 2017/1943)</w:t>
            </w:r>
          </w:p>
          <w:p w14:paraId="59CE1023" w14:textId="77777777" w:rsidR="00DB41CD" w:rsidRPr="000A3E55" w:rsidRDefault="00DB41CD" w:rsidP="00DB41CD">
            <w:pPr>
              <w:spacing w:after="0" w:line="240" w:lineRule="auto"/>
              <w:rPr>
                <w:rFonts w:ascii="Calibri" w:eastAsia="Times" w:hAnsi="Calibri" w:cs="Arial"/>
                <w:color w:val="330066"/>
              </w:rPr>
            </w:pPr>
          </w:p>
        </w:tc>
        <w:tc>
          <w:tcPr>
            <w:tcW w:w="144" w:type="dxa"/>
            <w:tcBorders>
              <w:top w:val="single" w:sz="4" w:space="0" w:color="auto"/>
              <w:left w:val="nil"/>
              <w:bottom w:val="single" w:sz="4" w:space="0" w:color="auto"/>
              <w:right w:val="nil"/>
            </w:tcBorders>
            <w:shd w:val="pct12" w:color="auto" w:fill="FFFFFF"/>
          </w:tcPr>
          <w:p w14:paraId="514DFF08" w14:textId="77777777" w:rsidR="00DB41CD" w:rsidRPr="000A3E55" w:rsidRDefault="00DB41CD" w:rsidP="00DB41CD">
            <w:pPr>
              <w:spacing w:after="0" w:line="240" w:lineRule="auto"/>
              <w:rPr>
                <w:rFonts w:ascii="Calibri" w:eastAsia="Times New Roman" w:hAnsi="Calibri" w:cs="Arial"/>
                <w:color w:val="330066"/>
              </w:rPr>
            </w:pPr>
          </w:p>
        </w:tc>
        <w:tc>
          <w:tcPr>
            <w:tcW w:w="4733" w:type="dxa"/>
            <w:tcBorders>
              <w:top w:val="single" w:sz="4" w:space="0" w:color="auto"/>
              <w:left w:val="nil"/>
              <w:bottom w:val="single" w:sz="4" w:space="0" w:color="auto"/>
              <w:right w:val="nil"/>
            </w:tcBorders>
          </w:tcPr>
          <w:p w14:paraId="383DBA76" w14:textId="77777777" w:rsidR="00DB41CD" w:rsidRPr="000A3E55" w:rsidRDefault="00DB41CD" w:rsidP="00DB41CD">
            <w:pPr>
              <w:tabs>
                <w:tab w:val="left" w:pos="426"/>
              </w:tabs>
              <w:spacing w:after="0" w:line="240" w:lineRule="auto"/>
              <w:outlineLvl w:val="0"/>
              <w:rPr>
                <w:rFonts w:ascii="Calibri" w:eastAsia="Times New Roman" w:hAnsi="Calibri" w:cs="Arial"/>
                <w:b/>
                <w:color w:val="330066"/>
              </w:rPr>
            </w:pPr>
          </w:p>
        </w:tc>
      </w:tr>
      <w:tr w:rsidR="00DB41CD" w:rsidRPr="000A3E55" w14:paraId="79BD21DF" w14:textId="77777777" w:rsidTr="0049458B">
        <w:tc>
          <w:tcPr>
            <w:tcW w:w="4536" w:type="dxa"/>
            <w:tcBorders>
              <w:top w:val="single" w:sz="4" w:space="0" w:color="auto"/>
              <w:left w:val="nil"/>
              <w:bottom w:val="single" w:sz="4" w:space="0" w:color="auto"/>
              <w:right w:val="nil"/>
            </w:tcBorders>
            <w:shd w:val="pct5" w:color="auto" w:fill="FFFFFF"/>
          </w:tcPr>
          <w:p w14:paraId="7CD9B333" w14:textId="77777777" w:rsidR="00DB41CD" w:rsidRPr="000A3E55" w:rsidRDefault="00DB41CD" w:rsidP="00DB41CD">
            <w:pPr>
              <w:rPr>
                <w:rFonts w:ascii="Calibri" w:hAnsi="Calibri"/>
              </w:rPr>
            </w:pPr>
            <w:r w:rsidRPr="000A3E55">
              <w:rPr>
                <w:rFonts w:ascii="Calibri" w:hAnsi="Calibri"/>
              </w:rPr>
              <w:t xml:space="preserve">a list </w:t>
            </w:r>
            <w:r w:rsidR="00D378C6">
              <w:rPr>
                <w:rFonts w:ascii="Calibri" w:hAnsi="Calibri"/>
              </w:rPr>
              <w:t>of outsourced functions, services or activities</w:t>
            </w:r>
            <w:r w:rsidR="00005FED">
              <w:rPr>
                <w:rFonts w:ascii="Calibri" w:hAnsi="Calibri"/>
              </w:rPr>
              <w:t xml:space="preserve"> (see a</w:t>
            </w:r>
            <w:r w:rsidRPr="000A3E55">
              <w:rPr>
                <w:rFonts w:ascii="Calibri" w:hAnsi="Calibri"/>
              </w:rPr>
              <w:t xml:space="preserve">rticle 6(e) </w:t>
            </w:r>
            <w:r w:rsidR="0049458B">
              <w:rPr>
                <w:rFonts w:ascii="Calibri" w:hAnsi="Calibri"/>
              </w:rPr>
              <w:t>DR</w:t>
            </w:r>
            <w:r w:rsidRPr="000A3E55">
              <w:rPr>
                <w:rFonts w:ascii="Calibri" w:hAnsi="Calibri"/>
              </w:rPr>
              <w:t xml:space="preserve"> 2017/1943)</w:t>
            </w:r>
          </w:p>
          <w:p w14:paraId="46BCAF53" w14:textId="77777777" w:rsidR="00DB41CD" w:rsidRPr="000A3E55" w:rsidRDefault="00DB41CD" w:rsidP="00DB41CD">
            <w:pPr>
              <w:spacing w:after="0" w:line="240" w:lineRule="auto"/>
              <w:rPr>
                <w:rFonts w:ascii="Calibri" w:eastAsia="Times" w:hAnsi="Calibri" w:cs="Arial"/>
                <w:color w:val="330066"/>
              </w:rPr>
            </w:pPr>
          </w:p>
        </w:tc>
        <w:tc>
          <w:tcPr>
            <w:tcW w:w="144" w:type="dxa"/>
            <w:tcBorders>
              <w:top w:val="single" w:sz="4" w:space="0" w:color="auto"/>
              <w:left w:val="nil"/>
              <w:bottom w:val="single" w:sz="4" w:space="0" w:color="auto"/>
              <w:right w:val="nil"/>
            </w:tcBorders>
            <w:shd w:val="pct12" w:color="auto" w:fill="FFFFFF"/>
          </w:tcPr>
          <w:p w14:paraId="4F9EF079" w14:textId="77777777" w:rsidR="00DB41CD" w:rsidRPr="000A3E55" w:rsidRDefault="00DB41CD" w:rsidP="00DB41CD">
            <w:pPr>
              <w:spacing w:after="0" w:line="240" w:lineRule="auto"/>
              <w:rPr>
                <w:rFonts w:ascii="Calibri" w:eastAsia="Times New Roman" w:hAnsi="Calibri" w:cs="Arial"/>
                <w:color w:val="330066"/>
              </w:rPr>
            </w:pPr>
          </w:p>
        </w:tc>
        <w:tc>
          <w:tcPr>
            <w:tcW w:w="4733" w:type="dxa"/>
            <w:tcBorders>
              <w:top w:val="single" w:sz="4" w:space="0" w:color="auto"/>
              <w:left w:val="nil"/>
              <w:bottom w:val="single" w:sz="4" w:space="0" w:color="auto"/>
              <w:right w:val="nil"/>
            </w:tcBorders>
          </w:tcPr>
          <w:p w14:paraId="1F7C2C53" w14:textId="77777777" w:rsidR="00DB41CD" w:rsidRPr="000A3E55" w:rsidRDefault="00DB41CD" w:rsidP="00DB41CD">
            <w:pPr>
              <w:tabs>
                <w:tab w:val="left" w:pos="426"/>
              </w:tabs>
              <w:spacing w:after="0" w:line="240" w:lineRule="auto"/>
              <w:outlineLvl w:val="0"/>
              <w:rPr>
                <w:rFonts w:ascii="Calibri" w:eastAsia="Times New Roman" w:hAnsi="Calibri" w:cs="Arial"/>
                <w:b/>
                <w:color w:val="330066"/>
              </w:rPr>
            </w:pPr>
          </w:p>
        </w:tc>
      </w:tr>
      <w:tr w:rsidR="00DB41CD" w:rsidRPr="000A3E55" w14:paraId="51165053" w14:textId="77777777" w:rsidTr="0049458B">
        <w:tc>
          <w:tcPr>
            <w:tcW w:w="4536" w:type="dxa"/>
            <w:tcBorders>
              <w:top w:val="single" w:sz="4" w:space="0" w:color="auto"/>
              <w:left w:val="nil"/>
              <w:bottom w:val="single" w:sz="4" w:space="0" w:color="auto"/>
              <w:right w:val="nil"/>
            </w:tcBorders>
            <w:shd w:val="pct5" w:color="auto" w:fill="FFFFFF"/>
          </w:tcPr>
          <w:p w14:paraId="67C97147" w14:textId="77777777" w:rsidR="00DB41CD" w:rsidRPr="000A3E55" w:rsidRDefault="00D378C6" w:rsidP="00DB41CD">
            <w:pPr>
              <w:rPr>
                <w:rFonts w:ascii="Calibri" w:hAnsi="Calibri"/>
              </w:rPr>
            </w:pPr>
            <w:r>
              <w:rPr>
                <w:rFonts w:ascii="Calibri" w:hAnsi="Calibri"/>
              </w:rPr>
              <w:t xml:space="preserve">measures relating to </w:t>
            </w:r>
            <w:r w:rsidR="0049458B">
              <w:rPr>
                <w:rFonts w:ascii="Calibri" w:hAnsi="Calibri"/>
              </w:rPr>
              <w:t xml:space="preserve">identify and to </w:t>
            </w:r>
            <w:r>
              <w:rPr>
                <w:rFonts w:ascii="Calibri" w:hAnsi="Calibri"/>
              </w:rPr>
              <w:t xml:space="preserve">prevent </w:t>
            </w:r>
            <w:r w:rsidR="0049458B">
              <w:rPr>
                <w:rFonts w:ascii="Calibri" w:hAnsi="Calibri"/>
              </w:rPr>
              <w:t>and</w:t>
            </w:r>
            <w:r>
              <w:rPr>
                <w:rFonts w:ascii="Calibri" w:hAnsi="Calibri"/>
              </w:rPr>
              <w:t xml:space="preserve"> manage </w:t>
            </w:r>
            <w:r w:rsidR="00DB41CD" w:rsidRPr="000A3E55">
              <w:rPr>
                <w:rFonts w:ascii="Calibri" w:hAnsi="Calibri"/>
              </w:rPr>
              <w:t xml:space="preserve">conflicts of interest and </w:t>
            </w:r>
            <w:r w:rsidR="0049458B">
              <w:rPr>
                <w:rFonts w:ascii="Calibri" w:hAnsi="Calibri"/>
              </w:rPr>
              <w:t xml:space="preserve">a description of the </w:t>
            </w:r>
            <w:r w:rsidR="00DB41CD" w:rsidRPr="000A3E55">
              <w:rPr>
                <w:rFonts w:ascii="Calibri" w:hAnsi="Calibri"/>
              </w:rPr>
              <w:t>product governance</w:t>
            </w:r>
            <w:r w:rsidR="0049458B">
              <w:rPr>
                <w:rFonts w:ascii="Calibri" w:hAnsi="Calibri"/>
              </w:rPr>
              <w:t xml:space="preserve"> arrangements</w:t>
            </w:r>
            <w:r w:rsidR="00005FED">
              <w:rPr>
                <w:rFonts w:ascii="Calibri" w:hAnsi="Calibri"/>
              </w:rPr>
              <w:t xml:space="preserve"> (see a</w:t>
            </w:r>
            <w:r w:rsidR="00DB41CD" w:rsidRPr="000A3E55">
              <w:rPr>
                <w:rFonts w:ascii="Calibri" w:hAnsi="Calibri"/>
              </w:rPr>
              <w:t xml:space="preserve">rticle 6(f) </w:t>
            </w:r>
            <w:r w:rsidR="0049458B">
              <w:rPr>
                <w:rFonts w:ascii="Calibri" w:hAnsi="Calibri"/>
              </w:rPr>
              <w:t>DR</w:t>
            </w:r>
            <w:r w:rsidR="00DB41CD" w:rsidRPr="000A3E55">
              <w:rPr>
                <w:rFonts w:ascii="Calibri" w:hAnsi="Calibri"/>
              </w:rPr>
              <w:t xml:space="preserve"> 2017/1943)</w:t>
            </w:r>
          </w:p>
          <w:p w14:paraId="360BA801" w14:textId="77777777" w:rsidR="00DB41CD" w:rsidRPr="000A3E55" w:rsidRDefault="00DB41CD" w:rsidP="00DB41CD">
            <w:pPr>
              <w:spacing w:after="0" w:line="240" w:lineRule="auto"/>
              <w:rPr>
                <w:rFonts w:ascii="Calibri" w:eastAsia="Times" w:hAnsi="Calibri" w:cs="Arial"/>
                <w:color w:val="330066"/>
              </w:rPr>
            </w:pPr>
          </w:p>
        </w:tc>
        <w:tc>
          <w:tcPr>
            <w:tcW w:w="144" w:type="dxa"/>
            <w:tcBorders>
              <w:top w:val="single" w:sz="4" w:space="0" w:color="auto"/>
              <w:left w:val="nil"/>
              <w:bottom w:val="single" w:sz="4" w:space="0" w:color="auto"/>
              <w:right w:val="nil"/>
            </w:tcBorders>
            <w:shd w:val="pct12" w:color="auto" w:fill="FFFFFF"/>
          </w:tcPr>
          <w:p w14:paraId="783907D3" w14:textId="77777777" w:rsidR="00DB41CD" w:rsidRPr="000A3E55" w:rsidRDefault="00DB41CD" w:rsidP="00DB41CD">
            <w:pPr>
              <w:spacing w:after="0" w:line="240" w:lineRule="auto"/>
              <w:rPr>
                <w:rFonts w:ascii="Calibri" w:eastAsia="Times New Roman" w:hAnsi="Calibri" w:cs="Arial"/>
                <w:color w:val="330066"/>
              </w:rPr>
            </w:pPr>
          </w:p>
        </w:tc>
        <w:tc>
          <w:tcPr>
            <w:tcW w:w="4733" w:type="dxa"/>
            <w:tcBorders>
              <w:top w:val="single" w:sz="4" w:space="0" w:color="auto"/>
              <w:left w:val="nil"/>
              <w:bottom w:val="single" w:sz="4" w:space="0" w:color="auto"/>
              <w:right w:val="nil"/>
            </w:tcBorders>
          </w:tcPr>
          <w:p w14:paraId="3EEE2536" w14:textId="77777777" w:rsidR="00DB41CD" w:rsidRPr="000A3E55" w:rsidRDefault="00DB41CD" w:rsidP="00DB41CD">
            <w:pPr>
              <w:tabs>
                <w:tab w:val="left" w:pos="426"/>
              </w:tabs>
              <w:spacing w:after="0" w:line="240" w:lineRule="auto"/>
              <w:outlineLvl w:val="0"/>
              <w:rPr>
                <w:rFonts w:ascii="Calibri" w:eastAsia="Times New Roman" w:hAnsi="Calibri" w:cs="Arial"/>
                <w:b/>
                <w:color w:val="330066"/>
              </w:rPr>
            </w:pPr>
          </w:p>
        </w:tc>
      </w:tr>
      <w:tr w:rsidR="00DB41CD" w:rsidRPr="000A3E55" w14:paraId="124C2BEC" w14:textId="77777777" w:rsidTr="0049458B">
        <w:tc>
          <w:tcPr>
            <w:tcW w:w="4536" w:type="dxa"/>
            <w:tcBorders>
              <w:top w:val="single" w:sz="4" w:space="0" w:color="auto"/>
              <w:left w:val="nil"/>
              <w:bottom w:val="single" w:sz="4" w:space="0" w:color="auto"/>
              <w:right w:val="nil"/>
            </w:tcBorders>
            <w:shd w:val="pct5" w:color="auto" w:fill="FFFFFF"/>
          </w:tcPr>
          <w:p w14:paraId="60145379" w14:textId="77777777" w:rsidR="00DB41CD" w:rsidRPr="00081ED5" w:rsidRDefault="00DB41CD" w:rsidP="00081ED5">
            <w:pPr>
              <w:rPr>
                <w:rFonts w:ascii="Calibri" w:hAnsi="Calibri"/>
              </w:rPr>
            </w:pPr>
            <w:r w:rsidRPr="000A3E55">
              <w:rPr>
                <w:rFonts w:ascii="Calibri" w:hAnsi="Calibri"/>
              </w:rPr>
              <w:t xml:space="preserve">a description </w:t>
            </w:r>
            <w:r w:rsidR="00005FED">
              <w:rPr>
                <w:rFonts w:ascii="Calibri" w:hAnsi="Calibri"/>
              </w:rPr>
              <w:t>of the monitoring systems (see a</w:t>
            </w:r>
            <w:r w:rsidRPr="000A3E55">
              <w:rPr>
                <w:rFonts w:ascii="Calibri" w:hAnsi="Calibri"/>
              </w:rPr>
              <w:t xml:space="preserve">rticle 6(g) </w:t>
            </w:r>
            <w:r w:rsidR="0049458B">
              <w:rPr>
                <w:rFonts w:ascii="Calibri" w:hAnsi="Calibri"/>
              </w:rPr>
              <w:t>DR</w:t>
            </w:r>
            <w:r w:rsidRPr="000A3E55">
              <w:rPr>
                <w:rFonts w:ascii="Calibri" w:hAnsi="Calibri"/>
              </w:rPr>
              <w:t xml:space="preserve"> 2017/1943)</w:t>
            </w:r>
          </w:p>
        </w:tc>
        <w:tc>
          <w:tcPr>
            <w:tcW w:w="144" w:type="dxa"/>
            <w:tcBorders>
              <w:top w:val="single" w:sz="4" w:space="0" w:color="auto"/>
              <w:left w:val="nil"/>
              <w:bottom w:val="single" w:sz="4" w:space="0" w:color="auto"/>
              <w:right w:val="nil"/>
            </w:tcBorders>
            <w:shd w:val="pct12" w:color="auto" w:fill="FFFFFF"/>
          </w:tcPr>
          <w:p w14:paraId="06D32233" w14:textId="77777777" w:rsidR="00DB41CD" w:rsidRPr="000A3E55" w:rsidRDefault="00DB41CD" w:rsidP="00DB41CD">
            <w:pPr>
              <w:spacing w:after="0" w:line="240" w:lineRule="auto"/>
              <w:rPr>
                <w:rFonts w:ascii="Calibri" w:eastAsia="Times New Roman" w:hAnsi="Calibri" w:cs="Arial"/>
                <w:color w:val="330066"/>
              </w:rPr>
            </w:pPr>
          </w:p>
        </w:tc>
        <w:tc>
          <w:tcPr>
            <w:tcW w:w="4733" w:type="dxa"/>
            <w:tcBorders>
              <w:top w:val="single" w:sz="4" w:space="0" w:color="auto"/>
              <w:left w:val="nil"/>
              <w:bottom w:val="single" w:sz="4" w:space="0" w:color="auto"/>
              <w:right w:val="nil"/>
            </w:tcBorders>
          </w:tcPr>
          <w:p w14:paraId="6CD3BED0" w14:textId="77777777" w:rsidR="00DB41CD" w:rsidRPr="000A3E55" w:rsidRDefault="00DB41CD" w:rsidP="00DB41CD">
            <w:pPr>
              <w:tabs>
                <w:tab w:val="left" w:pos="426"/>
              </w:tabs>
              <w:spacing w:after="0" w:line="240" w:lineRule="auto"/>
              <w:outlineLvl w:val="0"/>
              <w:rPr>
                <w:rFonts w:ascii="Calibri" w:eastAsia="Times New Roman" w:hAnsi="Calibri" w:cs="Arial"/>
                <w:b/>
                <w:color w:val="330066"/>
              </w:rPr>
            </w:pPr>
          </w:p>
        </w:tc>
      </w:tr>
      <w:tr w:rsidR="00DB41CD" w:rsidRPr="000A3E55" w14:paraId="51226C20" w14:textId="77777777" w:rsidTr="0049458B">
        <w:tc>
          <w:tcPr>
            <w:tcW w:w="4536" w:type="dxa"/>
            <w:tcBorders>
              <w:top w:val="single" w:sz="4" w:space="0" w:color="auto"/>
              <w:left w:val="nil"/>
              <w:bottom w:val="single" w:sz="4" w:space="0" w:color="auto"/>
              <w:right w:val="nil"/>
            </w:tcBorders>
            <w:shd w:val="pct5" w:color="auto" w:fill="FFFFFF"/>
          </w:tcPr>
          <w:p w14:paraId="0F3DC80A" w14:textId="77777777" w:rsidR="00DB41CD" w:rsidRPr="000A3E55" w:rsidRDefault="00DB41CD" w:rsidP="00DB41CD">
            <w:pPr>
              <w:rPr>
                <w:rFonts w:ascii="Calibri" w:hAnsi="Calibri"/>
              </w:rPr>
            </w:pPr>
            <w:r w:rsidRPr="000A3E55">
              <w:rPr>
                <w:rFonts w:ascii="Calibri" w:hAnsi="Calibri"/>
              </w:rPr>
              <w:lastRenderedPageBreak/>
              <w:t>information on the compliance, internal control an</w:t>
            </w:r>
            <w:r w:rsidR="00005FED">
              <w:rPr>
                <w:rFonts w:ascii="Calibri" w:hAnsi="Calibri"/>
              </w:rPr>
              <w:t>d risk management systems (see a</w:t>
            </w:r>
            <w:r w:rsidRPr="000A3E55">
              <w:rPr>
                <w:rFonts w:ascii="Calibri" w:hAnsi="Calibri"/>
              </w:rPr>
              <w:t xml:space="preserve">rticle 6(h) </w:t>
            </w:r>
            <w:r w:rsidR="0049458B">
              <w:rPr>
                <w:rFonts w:ascii="Calibri" w:hAnsi="Calibri"/>
              </w:rPr>
              <w:t>DR</w:t>
            </w:r>
            <w:r w:rsidRPr="000A3E55">
              <w:rPr>
                <w:rFonts w:ascii="Calibri" w:hAnsi="Calibri"/>
              </w:rPr>
              <w:t xml:space="preserve"> 2017/1943)</w:t>
            </w:r>
          </w:p>
          <w:p w14:paraId="502FF02A" w14:textId="77777777" w:rsidR="00DB41CD" w:rsidRPr="000A3E55" w:rsidRDefault="00DB41CD" w:rsidP="00DB41CD">
            <w:pPr>
              <w:spacing w:after="0" w:line="240" w:lineRule="auto"/>
              <w:rPr>
                <w:rFonts w:ascii="Calibri" w:eastAsia="Times" w:hAnsi="Calibri" w:cs="Arial"/>
                <w:color w:val="330066"/>
              </w:rPr>
            </w:pPr>
          </w:p>
        </w:tc>
        <w:tc>
          <w:tcPr>
            <w:tcW w:w="144" w:type="dxa"/>
            <w:tcBorders>
              <w:top w:val="single" w:sz="4" w:space="0" w:color="auto"/>
              <w:left w:val="nil"/>
              <w:bottom w:val="single" w:sz="4" w:space="0" w:color="auto"/>
              <w:right w:val="nil"/>
            </w:tcBorders>
            <w:shd w:val="pct12" w:color="auto" w:fill="FFFFFF"/>
          </w:tcPr>
          <w:p w14:paraId="5A1D4E80" w14:textId="77777777" w:rsidR="00DB41CD" w:rsidRPr="000A3E55" w:rsidRDefault="00DB41CD" w:rsidP="00DB41CD">
            <w:pPr>
              <w:spacing w:after="0" w:line="240" w:lineRule="auto"/>
              <w:rPr>
                <w:rFonts w:ascii="Calibri" w:eastAsia="Times New Roman" w:hAnsi="Calibri" w:cs="Arial"/>
                <w:color w:val="330066"/>
              </w:rPr>
            </w:pPr>
          </w:p>
        </w:tc>
        <w:tc>
          <w:tcPr>
            <w:tcW w:w="4733" w:type="dxa"/>
            <w:tcBorders>
              <w:top w:val="single" w:sz="4" w:space="0" w:color="auto"/>
              <w:left w:val="nil"/>
              <w:bottom w:val="single" w:sz="4" w:space="0" w:color="auto"/>
              <w:right w:val="nil"/>
            </w:tcBorders>
          </w:tcPr>
          <w:p w14:paraId="31597D23" w14:textId="77777777" w:rsidR="00DB41CD" w:rsidRPr="000A3E55" w:rsidRDefault="00DB41CD" w:rsidP="00DB41CD">
            <w:pPr>
              <w:tabs>
                <w:tab w:val="left" w:pos="426"/>
              </w:tabs>
              <w:spacing w:after="0" w:line="240" w:lineRule="auto"/>
              <w:outlineLvl w:val="0"/>
              <w:rPr>
                <w:rFonts w:ascii="Calibri" w:eastAsia="Times New Roman" w:hAnsi="Calibri" w:cs="Arial"/>
                <w:b/>
                <w:color w:val="330066"/>
              </w:rPr>
            </w:pPr>
          </w:p>
        </w:tc>
      </w:tr>
      <w:tr w:rsidR="00DB41CD" w:rsidRPr="000A3E55" w14:paraId="0BB76E3A" w14:textId="77777777" w:rsidTr="0049458B">
        <w:tc>
          <w:tcPr>
            <w:tcW w:w="4536" w:type="dxa"/>
            <w:tcBorders>
              <w:top w:val="single" w:sz="4" w:space="0" w:color="auto"/>
              <w:left w:val="nil"/>
              <w:bottom w:val="single" w:sz="4" w:space="0" w:color="auto"/>
              <w:right w:val="nil"/>
            </w:tcBorders>
            <w:shd w:val="pct5" w:color="auto" w:fill="FFFFFF"/>
          </w:tcPr>
          <w:p w14:paraId="309ADB3F" w14:textId="77777777" w:rsidR="00DB41CD" w:rsidRPr="000A3E55" w:rsidRDefault="00DB41CD" w:rsidP="00DB41CD">
            <w:pPr>
              <w:rPr>
                <w:rFonts w:ascii="Calibri" w:hAnsi="Calibri"/>
              </w:rPr>
            </w:pPr>
            <w:r w:rsidRPr="000A3E55">
              <w:rPr>
                <w:rFonts w:ascii="Calibri" w:hAnsi="Calibri"/>
              </w:rPr>
              <w:t xml:space="preserve">information on the systems for assessing and managing the </w:t>
            </w:r>
            <w:r w:rsidR="00005FED">
              <w:rPr>
                <w:rFonts w:ascii="Calibri" w:hAnsi="Calibri"/>
              </w:rPr>
              <w:t>risks of money laundering (see a</w:t>
            </w:r>
            <w:r w:rsidRPr="000A3E55">
              <w:rPr>
                <w:rFonts w:ascii="Calibri" w:hAnsi="Calibri"/>
              </w:rPr>
              <w:t>rticle 6(</w:t>
            </w:r>
            <w:proofErr w:type="spellStart"/>
            <w:r w:rsidRPr="000A3E55">
              <w:rPr>
                <w:rFonts w:ascii="Calibri" w:hAnsi="Calibri"/>
              </w:rPr>
              <w:t>i</w:t>
            </w:r>
            <w:proofErr w:type="spellEnd"/>
            <w:r w:rsidRPr="000A3E55">
              <w:rPr>
                <w:rFonts w:ascii="Calibri" w:hAnsi="Calibri"/>
              </w:rPr>
              <w:t xml:space="preserve">) </w:t>
            </w:r>
            <w:r w:rsidR="0049458B">
              <w:rPr>
                <w:rFonts w:ascii="Calibri" w:hAnsi="Calibri"/>
              </w:rPr>
              <w:t>DR</w:t>
            </w:r>
            <w:r w:rsidRPr="000A3E55">
              <w:rPr>
                <w:rFonts w:ascii="Calibri" w:hAnsi="Calibri"/>
              </w:rPr>
              <w:t xml:space="preserve"> 2017/1943)</w:t>
            </w:r>
          </w:p>
          <w:p w14:paraId="3FD9CEA3" w14:textId="77777777" w:rsidR="00DB41CD" w:rsidRPr="000A3E55" w:rsidRDefault="00DB41CD" w:rsidP="00DB41CD">
            <w:pPr>
              <w:spacing w:after="0" w:line="240" w:lineRule="auto"/>
              <w:rPr>
                <w:rFonts w:ascii="Calibri" w:eastAsia="Times" w:hAnsi="Calibri" w:cs="Arial"/>
                <w:color w:val="330066"/>
              </w:rPr>
            </w:pPr>
          </w:p>
        </w:tc>
        <w:tc>
          <w:tcPr>
            <w:tcW w:w="144" w:type="dxa"/>
            <w:tcBorders>
              <w:top w:val="single" w:sz="4" w:space="0" w:color="auto"/>
              <w:left w:val="nil"/>
              <w:bottom w:val="single" w:sz="4" w:space="0" w:color="auto"/>
              <w:right w:val="nil"/>
            </w:tcBorders>
            <w:shd w:val="pct12" w:color="auto" w:fill="FFFFFF"/>
          </w:tcPr>
          <w:p w14:paraId="21D91962" w14:textId="77777777" w:rsidR="00DB41CD" w:rsidRPr="000A3E55" w:rsidRDefault="00DB41CD" w:rsidP="00DB41CD">
            <w:pPr>
              <w:spacing w:after="0" w:line="240" w:lineRule="auto"/>
              <w:rPr>
                <w:rFonts w:ascii="Calibri" w:eastAsia="Times New Roman" w:hAnsi="Calibri" w:cs="Arial"/>
                <w:color w:val="330066"/>
              </w:rPr>
            </w:pPr>
          </w:p>
        </w:tc>
        <w:tc>
          <w:tcPr>
            <w:tcW w:w="4733" w:type="dxa"/>
            <w:tcBorders>
              <w:top w:val="single" w:sz="4" w:space="0" w:color="auto"/>
              <w:left w:val="nil"/>
              <w:bottom w:val="single" w:sz="4" w:space="0" w:color="auto"/>
              <w:right w:val="nil"/>
            </w:tcBorders>
          </w:tcPr>
          <w:p w14:paraId="20AF9A19" w14:textId="77777777" w:rsidR="00DB41CD" w:rsidRPr="000A3E55" w:rsidRDefault="00DB41CD" w:rsidP="00DB41CD">
            <w:pPr>
              <w:tabs>
                <w:tab w:val="left" w:pos="426"/>
              </w:tabs>
              <w:spacing w:after="0" w:line="240" w:lineRule="auto"/>
              <w:outlineLvl w:val="0"/>
              <w:rPr>
                <w:rFonts w:ascii="Calibri" w:eastAsia="Times New Roman" w:hAnsi="Calibri" w:cs="Arial"/>
                <w:b/>
                <w:color w:val="330066"/>
              </w:rPr>
            </w:pPr>
          </w:p>
        </w:tc>
      </w:tr>
      <w:tr w:rsidR="00DB41CD" w:rsidRPr="000A3E55" w14:paraId="07B6C853" w14:textId="77777777" w:rsidTr="0049458B">
        <w:tc>
          <w:tcPr>
            <w:tcW w:w="4536" w:type="dxa"/>
            <w:tcBorders>
              <w:top w:val="single" w:sz="4" w:space="0" w:color="auto"/>
              <w:left w:val="nil"/>
              <w:bottom w:val="single" w:sz="4" w:space="0" w:color="auto"/>
              <w:right w:val="nil"/>
            </w:tcBorders>
            <w:shd w:val="pct5" w:color="auto" w:fill="FFFFFF"/>
          </w:tcPr>
          <w:p w14:paraId="170C62F1" w14:textId="77777777" w:rsidR="00DB41CD" w:rsidRPr="000A3E55" w:rsidRDefault="00005FED" w:rsidP="00DB41CD">
            <w:pPr>
              <w:rPr>
                <w:rFonts w:ascii="Calibri" w:hAnsi="Calibri"/>
              </w:rPr>
            </w:pPr>
            <w:r>
              <w:rPr>
                <w:rFonts w:ascii="Calibri" w:hAnsi="Calibri"/>
              </w:rPr>
              <w:t>business continuity plans (see a</w:t>
            </w:r>
            <w:r w:rsidR="00DB41CD" w:rsidRPr="000A3E55">
              <w:rPr>
                <w:rFonts w:ascii="Calibri" w:hAnsi="Calibri"/>
              </w:rPr>
              <w:t xml:space="preserve">rticle 6(j) </w:t>
            </w:r>
            <w:r w:rsidR="0049458B">
              <w:rPr>
                <w:rFonts w:ascii="Calibri" w:hAnsi="Calibri"/>
              </w:rPr>
              <w:t>DR</w:t>
            </w:r>
            <w:r w:rsidR="00DB41CD" w:rsidRPr="000A3E55">
              <w:rPr>
                <w:rFonts w:ascii="Calibri" w:hAnsi="Calibri"/>
              </w:rPr>
              <w:t xml:space="preserve"> 2017/1943)</w:t>
            </w:r>
          </w:p>
          <w:p w14:paraId="513C700C" w14:textId="77777777" w:rsidR="00DB41CD" w:rsidRPr="000A3E55" w:rsidRDefault="00DB41CD" w:rsidP="00DB41CD">
            <w:pPr>
              <w:spacing w:after="0" w:line="240" w:lineRule="auto"/>
              <w:rPr>
                <w:rFonts w:ascii="Calibri" w:eastAsia="Times" w:hAnsi="Calibri" w:cs="Arial"/>
                <w:color w:val="330066"/>
              </w:rPr>
            </w:pPr>
          </w:p>
        </w:tc>
        <w:tc>
          <w:tcPr>
            <w:tcW w:w="144" w:type="dxa"/>
            <w:tcBorders>
              <w:top w:val="single" w:sz="4" w:space="0" w:color="auto"/>
              <w:left w:val="nil"/>
              <w:bottom w:val="single" w:sz="4" w:space="0" w:color="auto"/>
              <w:right w:val="nil"/>
            </w:tcBorders>
            <w:shd w:val="pct12" w:color="auto" w:fill="FFFFFF"/>
          </w:tcPr>
          <w:p w14:paraId="16A3548E" w14:textId="77777777" w:rsidR="00DB41CD" w:rsidRPr="000A3E55" w:rsidRDefault="00DB41CD" w:rsidP="00DB41CD">
            <w:pPr>
              <w:spacing w:after="0" w:line="240" w:lineRule="auto"/>
              <w:rPr>
                <w:rFonts w:ascii="Calibri" w:eastAsia="Times New Roman" w:hAnsi="Calibri" w:cs="Arial"/>
                <w:color w:val="330066"/>
              </w:rPr>
            </w:pPr>
          </w:p>
        </w:tc>
        <w:tc>
          <w:tcPr>
            <w:tcW w:w="4733" w:type="dxa"/>
            <w:tcBorders>
              <w:top w:val="single" w:sz="4" w:space="0" w:color="auto"/>
              <w:left w:val="nil"/>
              <w:bottom w:val="single" w:sz="4" w:space="0" w:color="auto"/>
              <w:right w:val="nil"/>
            </w:tcBorders>
          </w:tcPr>
          <w:p w14:paraId="12EF770C" w14:textId="77777777" w:rsidR="00DB41CD" w:rsidRPr="000A3E55" w:rsidRDefault="00DB41CD" w:rsidP="00DB41CD">
            <w:pPr>
              <w:tabs>
                <w:tab w:val="left" w:pos="426"/>
              </w:tabs>
              <w:spacing w:after="0" w:line="240" w:lineRule="auto"/>
              <w:outlineLvl w:val="0"/>
              <w:rPr>
                <w:rFonts w:ascii="Calibri" w:eastAsia="Times New Roman" w:hAnsi="Calibri" w:cs="Arial"/>
                <w:b/>
                <w:color w:val="330066"/>
              </w:rPr>
            </w:pPr>
          </w:p>
        </w:tc>
      </w:tr>
      <w:tr w:rsidR="00DB41CD" w:rsidRPr="000A3E55" w14:paraId="6E172047" w14:textId="77777777" w:rsidTr="0049458B">
        <w:tc>
          <w:tcPr>
            <w:tcW w:w="4536" w:type="dxa"/>
            <w:tcBorders>
              <w:top w:val="single" w:sz="4" w:space="0" w:color="auto"/>
              <w:left w:val="nil"/>
              <w:bottom w:val="single" w:sz="4" w:space="0" w:color="auto"/>
              <w:right w:val="nil"/>
            </w:tcBorders>
            <w:shd w:val="pct5" w:color="auto" w:fill="FFFFFF"/>
          </w:tcPr>
          <w:p w14:paraId="0A2FDE24" w14:textId="77777777" w:rsidR="00DB41CD" w:rsidRPr="000A3E55" w:rsidRDefault="0049458B" w:rsidP="00DB41CD">
            <w:pPr>
              <w:rPr>
                <w:rFonts w:ascii="Calibri" w:hAnsi="Calibri"/>
              </w:rPr>
            </w:pPr>
            <w:r>
              <w:rPr>
                <w:rFonts w:ascii="Calibri" w:hAnsi="Calibri"/>
              </w:rPr>
              <w:t>policies</w:t>
            </w:r>
            <w:r w:rsidR="00DB41CD" w:rsidRPr="000A3E55">
              <w:rPr>
                <w:rFonts w:ascii="Calibri" w:hAnsi="Calibri"/>
              </w:rPr>
              <w:t xml:space="preserve"> relating to record management</w:t>
            </w:r>
            <w:r>
              <w:rPr>
                <w:rFonts w:ascii="Calibri" w:hAnsi="Calibri"/>
              </w:rPr>
              <w:t>, record retention and record-keeping</w:t>
            </w:r>
            <w:r w:rsidR="00005FED">
              <w:rPr>
                <w:rFonts w:ascii="Calibri" w:hAnsi="Calibri"/>
              </w:rPr>
              <w:t xml:space="preserve"> (see a</w:t>
            </w:r>
            <w:r w:rsidR="00DB41CD" w:rsidRPr="000A3E55">
              <w:rPr>
                <w:rFonts w:ascii="Calibri" w:hAnsi="Calibri"/>
              </w:rPr>
              <w:t xml:space="preserve">rticle 6(k) </w:t>
            </w:r>
            <w:r>
              <w:rPr>
                <w:rFonts w:ascii="Calibri" w:hAnsi="Calibri"/>
              </w:rPr>
              <w:t>DR</w:t>
            </w:r>
            <w:r w:rsidR="00DB41CD" w:rsidRPr="000A3E55">
              <w:rPr>
                <w:rFonts w:ascii="Calibri" w:hAnsi="Calibri"/>
              </w:rPr>
              <w:t xml:space="preserve"> 2017/1943)</w:t>
            </w:r>
          </w:p>
          <w:p w14:paraId="6969B137" w14:textId="77777777" w:rsidR="00DB41CD" w:rsidRPr="000A3E55" w:rsidRDefault="00DB41CD" w:rsidP="00DB41CD">
            <w:pPr>
              <w:spacing w:after="0" w:line="240" w:lineRule="auto"/>
              <w:rPr>
                <w:rFonts w:ascii="Calibri" w:eastAsia="Times" w:hAnsi="Calibri" w:cs="Arial"/>
                <w:color w:val="330066"/>
              </w:rPr>
            </w:pPr>
          </w:p>
        </w:tc>
        <w:tc>
          <w:tcPr>
            <w:tcW w:w="144" w:type="dxa"/>
            <w:tcBorders>
              <w:top w:val="single" w:sz="4" w:space="0" w:color="auto"/>
              <w:left w:val="nil"/>
              <w:bottom w:val="single" w:sz="4" w:space="0" w:color="auto"/>
              <w:right w:val="nil"/>
            </w:tcBorders>
            <w:shd w:val="pct12" w:color="auto" w:fill="FFFFFF"/>
          </w:tcPr>
          <w:p w14:paraId="16C07648" w14:textId="77777777" w:rsidR="00DB41CD" w:rsidRPr="000A3E55" w:rsidRDefault="00DB41CD" w:rsidP="00DB41CD">
            <w:pPr>
              <w:spacing w:after="0" w:line="240" w:lineRule="auto"/>
              <w:rPr>
                <w:rFonts w:ascii="Calibri" w:eastAsia="Times New Roman" w:hAnsi="Calibri" w:cs="Arial"/>
                <w:color w:val="330066"/>
              </w:rPr>
            </w:pPr>
          </w:p>
        </w:tc>
        <w:tc>
          <w:tcPr>
            <w:tcW w:w="4733" w:type="dxa"/>
            <w:tcBorders>
              <w:top w:val="single" w:sz="4" w:space="0" w:color="auto"/>
              <w:left w:val="nil"/>
              <w:bottom w:val="single" w:sz="4" w:space="0" w:color="auto"/>
              <w:right w:val="nil"/>
            </w:tcBorders>
          </w:tcPr>
          <w:p w14:paraId="70865FD3" w14:textId="77777777" w:rsidR="00DB41CD" w:rsidRPr="000A3E55" w:rsidRDefault="00DB41CD" w:rsidP="00DB41CD">
            <w:pPr>
              <w:tabs>
                <w:tab w:val="left" w:pos="426"/>
              </w:tabs>
              <w:spacing w:after="0" w:line="240" w:lineRule="auto"/>
              <w:outlineLvl w:val="0"/>
              <w:rPr>
                <w:rFonts w:ascii="Calibri" w:eastAsia="Times New Roman" w:hAnsi="Calibri" w:cs="Arial"/>
                <w:b/>
                <w:color w:val="330066"/>
              </w:rPr>
            </w:pPr>
          </w:p>
        </w:tc>
      </w:tr>
      <w:tr w:rsidR="008D28AD" w:rsidRPr="000A3E55" w14:paraId="5117E092" w14:textId="77777777" w:rsidTr="0049458B">
        <w:tc>
          <w:tcPr>
            <w:tcW w:w="4536" w:type="dxa"/>
            <w:tcBorders>
              <w:top w:val="single" w:sz="4" w:space="0" w:color="auto"/>
              <w:left w:val="nil"/>
              <w:bottom w:val="single" w:sz="4" w:space="0" w:color="auto"/>
              <w:right w:val="nil"/>
            </w:tcBorders>
            <w:shd w:val="pct5" w:color="auto" w:fill="FFFFFF"/>
          </w:tcPr>
          <w:p w14:paraId="083E431A" w14:textId="77777777" w:rsidR="008D28AD" w:rsidRPr="0090646F" w:rsidRDefault="008D28AD" w:rsidP="008D28AD">
            <w:pPr>
              <w:rPr>
                <w:rFonts w:ascii="Calibri" w:hAnsi="Calibri"/>
                <w:i/>
              </w:rPr>
            </w:pPr>
            <w:r w:rsidRPr="0090646F">
              <w:rPr>
                <w:rFonts w:ascii="Calibri" w:hAnsi="Calibri"/>
                <w:i/>
              </w:rPr>
              <w:t>a description of the other relevant processes</w:t>
            </w:r>
            <w:r w:rsidR="00005FED">
              <w:rPr>
                <w:rFonts w:ascii="Calibri" w:hAnsi="Calibri"/>
                <w:i/>
              </w:rPr>
              <w:t>, procedures and measures (see a</w:t>
            </w:r>
            <w:r w:rsidRPr="0090646F">
              <w:rPr>
                <w:rFonts w:ascii="Calibri" w:hAnsi="Calibri"/>
                <w:i/>
              </w:rPr>
              <w:t xml:space="preserve">rticle 6(h) </w:t>
            </w:r>
            <w:r w:rsidR="0049458B" w:rsidRPr="0090646F">
              <w:rPr>
                <w:rFonts w:ascii="Calibri" w:hAnsi="Calibri"/>
                <w:i/>
              </w:rPr>
              <w:t>DR</w:t>
            </w:r>
            <w:r w:rsidRPr="0090646F">
              <w:rPr>
                <w:rFonts w:ascii="Calibri" w:hAnsi="Calibri"/>
                <w:i/>
              </w:rPr>
              <w:t xml:space="preserve"> 2017/1943)</w:t>
            </w:r>
          </w:p>
          <w:p w14:paraId="57A0E0EF" w14:textId="77777777" w:rsidR="00052DD6" w:rsidRPr="000A3E55" w:rsidRDefault="008D28AD" w:rsidP="00052DD6">
            <w:pPr>
              <w:rPr>
                <w:rFonts w:ascii="Calibri" w:hAnsi="Calibri"/>
                <w:sz w:val="16"/>
                <w:szCs w:val="16"/>
              </w:rPr>
            </w:pPr>
            <w:r w:rsidRPr="000A3E55">
              <w:rPr>
                <w:rFonts w:ascii="Calibri" w:hAnsi="Calibri"/>
                <w:sz w:val="16"/>
                <w:szCs w:val="16"/>
              </w:rPr>
              <w:t xml:space="preserve">This may for instance concern the following: It may be the case that a standard does not apply, for instance if you are engaged solely in proprietary trading and the standard relates to clients. The standards are described </w:t>
            </w:r>
            <w:r w:rsidRPr="00005FED">
              <w:rPr>
                <w:rFonts w:ascii="Calibri" w:hAnsi="Calibri"/>
                <w:sz w:val="16"/>
                <w:szCs w:val="16"/>
              </w:rPr>
              <w:t xml:space="preserve">mainly in </w:t>
            </w:r>
            <w:r w:rsidR="0049458B" w:rsidRPr="00005FED">
              <w:rPr>
                <w:rFonts w:ascii="Calibri" w:hAnsi="Calibri"/>
                <w:sz w:val="16"/>
                <w:szCs w:val="16"/>
              </w:rPr>
              <w:t>DR</w:t>
            </w:r>
            <w:r w:rsidRPr="00005FED">
              <w:rPr>
                <w:rFonts w:ascii="Calibri" w:hAnsi="Calibri"/>
                <w:sz w:val="16"/>
                <w:szCs w:val="16"/>
              </w:rPr>
              <w:t xml:space="preserve"> 2017/565</w:t>
            </w:r>
            <w:r w:rsidR="00E12E2E" w:rsidRPr="00005FED">
              <w:rPr>
                <w:rStyle w:val="FootnoteReference"/>
                <w:rFonts w:ascii="Calibri" w:hAnsi="Calibri"/>
                <w:sz w:val="16"/>
                <w:szCs w:val="16"/>
              </w:rPr>
              <w:footnoteReference w:id="7"/>
            </w:r>
            <w:r w:rsidRPr="00005FED">
              <w:rPr>
                <w:rFonts w:ascii="Calibri" w:hAnsi="Calibri"/>
                <w:sz w:val="16"/>
                <w:szCs w:val="16"/>
              </w:rPr>
              <w:t xml:space="preserve">, but also in other regulations, such as the </w:t>
            </w:r>
            <w:proofErr w:type="spellStart"/>
            <w:r w:rsidRPr="00005FED">
              <w:rPr>
                <w:rFonts w:ascii="Calibri" w:hAnsi="Calibri"/>
                <w:sz w:val="16"/>
                <w:szCs w:val="16"/>
              </w:rPr>
              <w:t>Wft</w:t>
            </w:r>
            <w:proofErr w:type="spellEnd"/>
            <w:r w:rsidRPr="00005FED">
              <w:rPr>
                <w:rFonts w:ascii="Calibri" w:hAnsi="Calibri"/>
                <w:sz w:val="16"/>
                <w:szCs w:val="16"/>
              </w:rPr>
              <w:t xml:space="preserve">, </w:t>
            </w:r>
            <w:proofErr w:type="spellStart"/>
            <w:r w:rsidRPr="00005FED">
              <w:rPr>
                <w:rFonts w:ascii="Calibri" w:hAnsi="Calibri"/>
                <w:sz w:val="16"/>
                <w:szCs w:val="16"/>
              </w:rPr>
              <w:t>BGfo</w:t>
            </w:r>
            <w:proofErr w:type="spellEnd"/>
            <w:r w:rsidR="007C2672">
              <w:rPr>
                <w:rStyle w:val="FootnoteReference"/>
                <w:rFonts w:ascii="Calibri" w:hAnsi="Calibri"/>
                <w:sz w:val="16"/>
                <w:szCs w:val="16"/>
              </w:rPr>
              <w:footnoteReference w:id="8"/>
            </w:r>
            <w:r w:rsidRPr="00005FED">
              <w:rPr>
                <w:rFonts w:ascii="Calibri" w:hAnsi="Calibri"/>
                <w:sz w:val="16"/>
                <w:szCs w:val="16"/>
              </w:rPr>
              <w:t xml:space="preserve"> and</w:t>
            </w:r>
            <w:r w:rsidRPr="000A3E55">
              <w:rPr>
                <w:rFonts w:ascii="Calibri" w:hAnsi="Calibri"/>
                <w:sz w:val="16"/>
                <w:szCs w:val="16"/>
              </w:rPr>
              <w:t xml:space="preserve"> other delegated regulations. The firm must determine what standards apply. Several requirements that occur frequently are included below. This list is not intended to be exhaustive.</w:t>
            </w:r>
          </w:p>
          <w:p w14:paraId="51E21C45" w14:textId="77777777" w:rsidR="008D28AD" w:rsidRPr="000A3E55" w:rsidRDefault="008D28AD" w:rsidP="00052DD6">
            <w:pPr>
              <w:rPr>
                <w:rFonts w:ascii="Calibri" w:hAnsi="Calibri"/>
                <w:sz w:val="16"/>
                <w:szCs w:val="16"/>
              </w:rPr>
            </w:pPr>
            <w:r w:rsidRPr="000A3E55">
              <w:rPr>
                <w:rFonts w:ascii="Calibri" w:hAnsi="Calibri"/>
                <w:sz w:val="16"/>
                <w:szCs w:val="16"/>
              </w:rPr>
              <w:t xml:space="preserve">Among other things, the description must show that the applicant </w:t>
            </w:r>
            <w:r w:rsidRPr="000A3E55">
              <w:rPr>
                <w:rFonts w:ascii="Calibri" w:hAnsi="Calibri"/>
                <w:color w:val="000000"/>
                <w:sz w:val="16"/>
                <w:szCs w:val="16"/>
              </w:rPr>
              <w:t>has implemented all the necessary measures in order to meet the statutory requirements. Among other things, this concerns:</w:t>
            </w:r>
          </w:p>
        </w:tc>
        <w:tc>
          <w:tcPr>
            <w:tcW w:w="144" w:type="dxa"/>
            <w:tcBorders>
              <w:top w:val="single" w:sz="4" w:space="0" w:color="auto"/>
              <w:left w:val="nil"/>
              <w:bottom w:val="single" w:sz="4" w:space="0" w:color="auto"/>
              <w:right w:val="nil"/>
            </w:tcBorders>
            <w:shd w:val="pct12" w:color="auto" w:fill="FFFFFF"/>
          </w:tcPr>
          <w:p w14:paraId="6A636F09" w14:textId="77777777" w:rsidR="008D28AD" w:rsidRPr="000A3E55" w:rsidRDefault="008D28AD" w:rsidP="00DB41CD">
            <w:pPr>
              <w:spacing w:after="0" w:line="240" w:lineRule="auto"/>
              <w:rPr>
                <w:rFonts w:ascii="Calibri" w:eastAsia="Times New Roman" w:hAnsi="Calibri" w:cs="Arial"/>
                <w:color w:val="330066"/>
              </w:rPr>
            </w:pPr>
          </w:p>
        </w:tc>
        <w:tc>
          <w:tcPr>
            <w:tcW w:w="4733" w:type="dxa"/>
            <w:tcBorders>
              <w:top w:val="single" w:sz="4" w:space="0" w:color="auto"/>
              <w:left w:val="nil"/>
              <w:bottom w:val="single" w:sz="4" w:space="0" w:color="auto"/>
              <w:right w:val="nil"/>
            </w:tcBorders>
          </w:tcPr>
          <w:p w14:paraId="03A7A2A9" w14:textId="77777777" w:rsidR="008D28AD" w:rsidRPr="000A3E55" w:rsidRDefault="008D28AD" w:rsidP="00DB41CD">
            <w:pPr>
              <w:tabs>
                <w:tab w:val="left" w:pos="426"/>
              </w:tabs>
              <w:spacing w:after="0" w:line="240" w:lineRule="auto"/>
              <w:outlineLvl w:val="0"/>
              <w:rPr>
                <w:rFonts w:ascii="Calibri" w:eastAsia="Times New Roman" w:hAnsi="Calibri" w:cs="Arial"/>
                <w:b/>
                <w:color w:val="330066"/>
              </w:rPr>
            </w:pPr>
          </w:p>
        </w:tc>
      </w:tr>
      <w:tr w:rsidR="008D28AD" w:rsidRPr="000A3E55" w14:paraId="4E93DBD4" w14:textId="77777777" w:rsidTr="0049458B">
        <w:tc>
          <w:tcPr>
            <w:tcW w:w="4536" w:type="dxa"/>
            <w:tcBorders>
              <w:top w:val="single" w:sz="4" w:space="0" w:color="auto"/>
              <w:left w:val="nil"/>
              <w:bottom w:val="single" w:sz="4" w:space="0" w:color="auto"/>
              <w:right w:val="nil"/>
            </w:tcBorders>
            <w:shd w:val="pct5" w:color="auto" w:fill="FFFFFF"/>
          </w:tcPr>
          <w:p w14:paraId="1C0F1D34" w14:textId="77777777" w:rsidR="008D28AD" w:rsidRPr="000A3E55" w:rsidRDefault="0049458B" w:rsidP="008D28AD">
            <w:pPr>
              <w:spacing w:line="240" w:lineRule="auto"/>
              <w:rPr>
                <w:rFonts w:ascii="Calibri" w:hAnsi="Calibri"/>
                <w:i/>
              </w:rPr>
            </w:pPr>
            <w:r>
              <w:rPr>
                <w:rFonts w:ascii="Calibri" w:hAnsi="Calibri"/>
                <w:i/>
              </w:rPr>
              <w:t>General organisational requirements and senior management</w:t>
            </w:r>
            <w:r w:rsidR="00005FED">
              <w:rPr>
                <w:rFonts w:ascii="Calibri" w:hAnsi="Calibri"/>
                <w:i/>
              </w:rPr>
              <w:t xml:space="preserve"> (see a</w:t>
            </w:r>
            <w:r w:rsidR="008D28AD" w:rsidRPr="000A3E55">
              <w:rPr>
                <w:rFonts w:ascii="Calibri" w:hAnsi="Calibri"/>
                <w:i/>
              </w:rPr>
              <w:t>rticl</w:t>
            </w:r>
            <w:r>
              <w:rPr>
                <w:rFonts w:ascii="Calibri" w:hAnsi="Calibri"/>
                <w:i/>
              </w:rPr>
              <w:t>es 21, 25 DR 2017/565</w:t>
            </w:r>
            <w:r w:rsidR="008D28AD" w:rsidRPr="000A3E55">
              <w:rPr>
                <w:rFonts w:ascii="Calibri" w:hAnsi="Calibri"/>
                <w:i/>
              </w:rPr>
              <w:t>)</w:t>
            </w:r>
          </w:p>
          <w:p w14:paraId="0AE01768" w14:textId="77777777" w:rsidR="009D5D64" w:rsidRPr="000A3E55" w:rsidRDefault="009D5D64" w:rsidP="008D28AD">
            <w:pPr>
              <w:spacing w:line="240" w:lineRule="auto"/>
              <w:rPr>
                <w:rFonts w:ascii="Calibri" w:hAnsi="Calibri"/>
                <w:i/>
              </w:rPr>
            </w:pPr>
          </w:p>
        </w:tc>
        <w:tc>
          <w:tcPr>
            <w:tcW w:w="144" w:type="dxa"/>
            <w:tcBorders>
              <w:top w:val="single" w:sz="4" w:space="0" w:color="auto"/>
              <w:left w:val="nil"/>
              <w:bottom w:val="single" w:sz="4" w:space="0" w:color="auto"/>
              <w:right w:val="nil"/>
            </w:tcBorders>
            <w:shd w:val="pct12" w:color="auto" w:fill="FFFFFF"/>
          </w:tcPr>
          <w:p w14:paraId="51EE9725" w14:textId="77777777" w:rsidR="008D28AD" w:rsidRPr="000A3E55" w:rsidRDefault="008D28AD" w:rsidP="00DB41CD">
            <w:pPr>
              <w:spacing w:after="0" w:line="240" w:lineRule="auto"/>
              <w:rPr>
                <w:rFonts w:ascii="Calibri" w:eastAsia="Times New Roman" w:hAnsi="Calibri" w:cs="Arial"/>
                <w:color w:val="330066"/>
              </w:rPr>
            </w:pPr>
          </w:p>
        </w:tc>
        <w:tc>
          <w:tcPr>
            <w:tcW w:w="4733" w:type="dxa"/>
            <w:tcBorders>
              <w:top w:val="single" w:sz="4" w:space="0" w:color="auto"/>
              <w:left w:val="nil"/>
              <w:bottom w:val="single" w:sz="4" w:space="0" w:color="auto"/>
              <w:right w:val="nil"/>
            </w:tcBorders>
          </w:tcPr>
          <w:p w14:paraId="49294048" w14:textId="77777777" w:rsidR="008D28AD" w:rsidRPr="000A3E55" w:rsidRDefault="008D28AD" w:rsidP="00DB41CD">
            <w:pPr>
              <w:tabs>
                <w:tab w:val="left" w:pos="426"/>
              </w:tabs>
              <w:spacing w:after="0" w:line="240" w:lineRule="auto"/>
              <w:outlineLvl w:val="0"/>
              <w:rPr>
                <w:rFonts w:ascii="Calibri" w:eastAsia="Times New Roman" w:hAnsi="Calibri" w:cs="Arial"/>
                <w:b/>
                <w:color w:val="330066"/>
              </w:rPr>
            </w:pPr>
          </w:p>
        </w:tc>
      </w:tr>
      <w:tr w:rsidR="008D28AD" w:rsidRPr="000A3E55" w14:paraId="5CB157A9" w14:textId="77777777" w:rsidTr="0049458B">
        <w:tc>
          <w:tcPr>
            <w:tcW w:w="4536" w:type="dxa"/>
            <w:tcBorders>
              <w:top w:val="single" w:sz="4" w:space="0" w:color="auto"/>
              <w:left w:val="nil"/>
              <w:bottom w:val="single" w:sz="4" w:space="0" w:color="auto"/>
              <w:right w:val="nil"/>
            </w:tcBorders>
            <w:shd w:val="pct5" w:color="auto" w:fill="FFFFFF"/>
          </w:tcPr>
          <w:p w14:paraId="19652D68" w14:textId="77777777" w:rsidR="009D5D64" w:rsidRPr="000A3E55" w:rsidRDefault="00005FED" w:rsidP="008D28AD">
            <w:pPr>
              <w:spacing w:line="240" w:lineRule="auto"/>
              <w:rPr>
                <w:rFonts w:ascii="Calibri" w:hAnsi="Calibri"/>
                <w:i/>
              </w:rPr>
            </w:pPr>
            <w:r>
              <w:rPr>
                <w:rFonts w:ascii="Calibri" w:hAnsi="Calibri"/>
                <w:i/>
              </w:rPr>
              <w:t>Internal risk functions (see a</w:t>
            </w:r>
            <w:r w:rsidR="008D28AD" w:rsidRPr="000A3E55">
              <w:rPr>
                <w:rFonts w:ascii="Calibri" w:hAnsi="Calibri"/>
                <w:i/>
              </w:rPr>
              <w:t xml:space="preserve">rticles 22-24 </w:t>
            </w:r>
            <w:r w:rsidR="0049458B">
              <w:rPr>
                <w:rFonts w:ascii="Calibri" w:hAnsi="Calibri"/>
                <w:i/>
              </w:rPr>
              <w:t>DR</w:t>
            </w:r>
            <w:r w:rsidR="008D28AD" w:rsidRPr="000A3E55">
              <w:rPr>
                <w:rFonts w:ascii="Calibri" w:hAnsi="Calibri"/>
                <w:i/>
              </w:rPr>
              <w:t xml:space="preserve"> 2017/565)</w:t>
            </w:r>
          </w:p>
        </w:tc>
        <w:tc>
          <w:tcPr>
            <w:tcW w:w="144" w:type="dxa"/>
            <w:tcBorders>
              <w:top w:val="single" w:sz="4" w:space="0" w:color="auto"/>
              <w:left w:val="nil"/>
              <w:bottom w:val="single" w:sz="4" w:space="0" w:color="auto"/>
              <w:right w:val="nil"/>
            </w:tcBorders>
            <w:shd w:val="pct12" w:color="auto" w:fill="FFFFFF"/>
          </w:tcPr>
          <w:p w14:paraId="598BBD01" w14:textId="77777777" w:rsidR="008D28AD" w:rsidRPr="000A3E55" w:rsidRDefault="008D28AD" w:rsidP="00DB41CD">
            <w:pPr>
              <w:spacing w:after="0" w:line="240" w:lineRule="auto"/>
              <w:rPr>
                <w:rFonts w:ascii="Calibri" w:eastAsia="Times New Roman" w:hAnsi="Calibri" w:cs="Arial"/>
                <w:color w:val="330066"/>
              </w:rPr>
            </w:pPr>
          </w:p>
        </w:tc>
        <w:tc>
          <w:tcPr>
            <w:tcW w:w="4733" w:type="dxa"/>
            <w:tcBorders>
              <w:top w:val="single" w:sz="4" w:space="0" w:color="auto"/>
              <w:left w:val="nil"/>
              <w:bottom w:val="single" w:sz="4" w:space="0" w:color="auto"/>
              <w:right w:val="nil"/>
            </w:tcBorders>
          </w:tcPr>
          <w:p w14:paraId="60DEC17A" w14:textId="77777777" w:rsidR="008D28AD" w:rsidRPr="000A3E55" w:rsidRDefault="008D28AD" w:rsidP="00DB41CD">
            <w:pPr>
              <w:tabs>
                <w:tab w:val="left" w:pos="426"/>
              </w:tabs>
              <w:spacing w:after="0" w:line="240" w:lineRule="auto"/>
              <w:outlineLvl w:val="0"/>
              <w:rPr>
                <w:rFonts w:ascii="Calibri" w:eastAsia="Times New Roman" w:hAnsi="Calibri" w:cs="Arial"/>
                <w:b/>
                <w:color w:val="330066"/>
              </w:rPr>
            </w:pPr>
          </w:p>
        </w:tc>
      </w:tr>
      <w:tr w:rsidR="008D28AD" w:rsidRPr="000A3E55" w14:paraId="2953005F" w14:textId="77777777" w:rsidTr="007C2672">
        <w:trPr>
          <w:trHeight w:val="70"/>
        </w:trPr>
        <w:tc>
          <w:tcPr>
            <w:tcW w:w="4536" w:type="dxa"/>
            <w:tcBorders>
              <w:top w:val="single" w:sz="4" w:space="0" w:color="auto"/>
              <w:left w:val="nil"/>
              <w:bottom w:val="single" w:sz="4" w:space="0" w:color="auto"/>
              <w:right w:val="nil"/>
            </w:tcBorders>
            <w:shd w:val="pct5" w:color="auto" w:fill="FFFFFF"/>
          </w:tcPr>
          <w:p w14:paraId="1A7CCF48" w14:textId="77777777" w:rsidR="008D28AD" w:rsidRPr="000A3E55" w:rsidRDefault="00005FED" w:rsidP="008D28AD">
            <w:pPr>
              <w:spacing w:line="240" w:lineRule="auto"/>
              <w:rPr>
                <w:rFonts w:ascii="Calibri" w:hAnsi="Calibri"/>
                <w:i/>
              </w:rPr>
            </w:pPr>
            <w:r>
              <w:rPr>
                <w:rFonts w:ascii="Calibri" w:hAnsi="Calibri"/>
                <w:i/>
              </w:rPr>
              <w:lastRenderedPageBreak/>
              <w:t>Complaints handling (see a</w:t>
            </w:r>
            <w:r w:rsidR="008D28AD" w:rsidRPr="000A3E55">
              <w:rPr>
                <w:rFonts w:ascii="Calibri" w:hAnsi="Calibri"/>
                <w:i/>
              </w:rPr>
              <w:t xml:space="preserve">rticle 26 </w:t>
            </w:r>
            <w:r w:rsidR="0049458B">
              <w:rPr>
                <w:rFonts w:ascii="Calibri" w:hAnsi="Calibri"/>
                <w:i/>
              </w:rPr>
              <w:t>DR</w:t>
            </w:r>
            <w:r w:rsidR="008D28AD" w:rsidRPr="000A3E55">
              <w:rPr>
                <w:rFonts w:ascii="Calibri" w:hAnsi="Calibri"/>
                <w:i/>
              </w:rPr>
              <w:t xml:space="preserve"> 2017/565)</w:t>
            </w:r>
          </w:p>
          <w:p w14:paraId="4128AB50" w14:textId="77777777" w:rsidR="0049458B" w:rsidRPr="000A3E55" w:rsidRDefault="0049458B" w:rsidP="008D28AD">
            <w:pPr>
              <w:spacing w:line="240" w:lineRule="auto"/>
              <w:rPr>
                <w:rFonts w:ascii="Calibri" w:hAnsi="Calibri"/>
                <w:i/>
              </w:rPr>
            </w:pPr>
          </w:p>
        </w:tc>
        <w:tc>
          <w:tcPr>
            <w:tcW w:w="144" w:type="dxa"/>
            <w:tcBorders>
              <w:top w:val="single" w:sz="4" w:space="0" w:color="auto"/>
              <w:left w:val="nil"/>
              <w:bottom w:val="single" w:sz="4" w:space="0" w:color="auto"/>
              <w:right w:val="nil"/>
            </w:tcBorders>
            <w:shd w:val="pct12" w:color="auto" w:fill="FFFFFF"/>
          </w:tcPr>
          <w:p w14:paraId="5040F1B4" w14:textId="77777777" w:rsidR="008D28AD" w:rsidRPr="000A3E55" w:rsidRDefault="008D28AD" w:rsidP="00DB41CD">
            <w:pPr>
              <w:spacing w:after="0" w:line="240" w:lineRule="auto"/>
              <w:rPr>
                <w:rFonts w:ascii="Calibri" w:eastAsia="Times New Roman" w:hAnsi="Calibri" w:cs="Arial"/>
                <w:color w:val="330066"/>
              </w:rPr>
            </w:pPr>
          </w:p>
        </w:tc>
        <w:tc>
          <w:tcPr>
            <w:tcW w:w="4733" w:type="dxa"/>
            <w:tcBorders>
              <w:top w:val="single" w:sz="4" w:space="0" w:color="auto"/>
              <w:left w:val="nil"/>
              <w:bottom w:val="single" w:sz="4" w:space="0" w:color="auto"/>
              <w:right w:val="nil"/>
            </w:tcBorders>
          </w:tcPr>
          <w:p w14:paraId="668577D4" w14:textId="77777777" w:rsidR="008D28AD" w:rsidRPr="000A3E55" w:rsidRDefault="008D28AD" w:rsidP="00DB41CD">
            <w:pPr>
              <w:tabs>
                <w:tab w:val="left" w:pos="426"/>
              </w:tabs>
              <w:spacing w:after="0" w:line="240" w:lineRule="auto"/>
              <w:outlineLvl w:val="0"/>
              <w:rPr>
                <w:rFonts w:ascii="Calibri" w:eastAsia="Times New Roman" w:hAnsi="Calibri" w:cs="Arial"/>
                <w:b/>
                <w:color w:val="330066"/>
              </w:rPr>
            </w:pPr>
          </w:p>
        </w:tc>
      </w:tr>
      <w:tr w:rsidR="008D28AD" w:rsidRPr="000A3E55" w14:paraId="707F388D" w14:textId="77777777" w:rsidTr="0049458B">
        <w:tc>
          <w:tcPr>
            <w:tcW w:w="4536" w:type="dxa"/>
            <w:tcBorders>
              <w:top w:val="single" w:sz="4" w:space="0" w:color="auto"/>
              <w:left w:val="nil"/>
              <w:bottom w:val="single" w:sz="4" w:space="0" w:color="auto"/>
              <w:right w:val="nil"/>
            </w:tcBorders>
            <w:shd w:val="pct5" w:color="auto" w:fill="FFFFFF"/>
          </w:tcPr>
          <w:p w14:paraId="7041F5C1" w14:textId="77777777" w:rsidR="008D28AD" w:rsidRPr="000A3E55" w:rsidRDefault="008D28AD" w:rsidP="008D28AD">
            <w:pPr>
              <w:spacing w:line="240" w:lineRule="auto"/>
              <w:rPr>
                <w:rFonts w:ascii="Calibri" w:hAnsi="Calibri"/>
                <w:i/>
              </w:rPr>
            </w:pPr>
            <w:r w:rsidRPr="000A3E55">
              <w:rPr>
                <w:rFonts w:ascii="Calibri" w:hAnsi="Calibri"/>
                <w:i/>
              </w:rPr>
              <w:t xml:space="preserve">Remuneration policy </w:t>
            </w:r>
            <w:r w:rsidR="00005FED">
              <w:rPr>
                <w:rFonts w:ascii="Calibri" w:hAnsi="Calibri"/>
                <w:i/>
              </w:rPr>
              <w:t>(see a</w:t>
            </w:r>
            <w:r w:rsidRPr="000A3E55">
              <w:rPr>
                <w:rFonts w:ascii="Calibri" w:hAnsi="Calibri"/>
                <w:i/>
              </w:rPr>
              <w:t xml:space="preserve">rticle 27 </w:t>
            </w:r>
            <w:r w:rsidR="0049458B">
              <w:rPr>
                <w:rFonts w:ascii="Calibri" w:hAnsi="Calibri"/>
                <w:i/>
              </w:rPr>
              <w:t>DR</w:t>
            </w:r>
            <w:r w:rsidRPr="000A3E55">
              <w:rPr>
                <w:rFonts w:ascii="Calibri" w:hAnsi="Calibri"/>
                <w:i/>
              </w:rPr>
              <w:t xml:space="preserve"> 2017/565)</w:t>
            </w:r>
          </w:p>
          <w:p w14:paraId="2D7DE4A0" w14:textId="77777777" w:rsidR="009D5D64" w:rsidRPr="000A3E55" w:rsidRDefault="009D5D64" w:rsidP="008D28AD">
            <w:pPr>
              <w:spacing w:line="240" w:lineRule="auto"/>
              <w:rPr>
                <w:rFonts w:ascii="Calibri" w:hAnsi="Calibri"/>
                <w:i/>
              </w:rPr>
            </w:pPr>
          </w:p>
        </w:tc>
        <w:tc>
          <w:tcPr>
            <w:tcW w:w="144" w:type="dxa"/>
            <w:tcBorders>
              <w:top w:val="single" w:sz="4" w:space="0" w:color="auto"/>
              <w:left w:val="nil"/>
              <w:bottom w:val="single" w:sz="4" w:space="0" w:color="auto"/>
              <w:right w:val="nil"/>
            </w:tcBorders>
            <w:shd w:val="pct12" w:color="auto" w:fill="FFFFFF"/>
          </w:tcPr>
          <w:p w14:paraId="51B89D2C" w14:textId="77777777" w:rsidR="008D28AD" w:rsidRPr="000A3E55" w:rsidRDefault="008D28AD" w:rsidP="00DB41CD">
            <w:pPr>
              <w:spacing w:after="0" w:line="240" w:lineRule="auto"/>
              <w:rPr>
                <w:rFonts w:ascii="Calibri" w:eastAsia="Times New Roman" w:hAnsi="Calibri" w:cs="Arial"/>
                <w:color w:val="330066"/>
              </w:rPr>
            </w:pPr>
          </w:p>
        </w:tc>
        <w:tc>
          <w:tcPr>
            <w:tcW w:w="4733" w:type="dxa"/>
            <w:tcBorders>
              <w:top w:val="single" w:sz="4" w:space="0" w:color="auto"/>
              <w:left w:val="nil"/>
              <w:bottom w:val="single" w:sz="4" w:space="0" w:color="auto"/>
              <w:right w:val="nil"/>
            </w:tcBorders>
          </w:tcPr>
          <w:p w14:paraId="32729307" w14:textId="77777777" w:rsidR="008D28AD" w:rsidRPr="000A3E55" w:rsidRDefault="008D28AD" w:rsidP="00DB41CD">
            <w:pPr>
              <w:tabs>
                <w:tab w:val="left" w:pos="426"/>
              </w:tabs>
              <w:spacing w:after="0" w:line="240" w:lineRule="auto"/>
              <w:outlineLvl w:val="0"/>
              <w:rPr>
                <w:rFonts w:ascii="Calibri" w:eastAsia="Times New Roman" w:hAnsi="Calibri" w:cs="Arial"/>
                <w:b/>
                <w:color w:val="330066"/>
              </w:rPr>
            </w:pPr>
          </w:p>
        </w:tc>
      </w:tr>
      <w:tr w:rsidR="008D28AD" w:rsidRPr="000A3E55" w14:paraId="5B99E8BD" w14:textId="77777777" w:rsidTr="0049458B">
        <w:tc>
          <w:tcPr>
            <w:tcW w:w="4536" w:type="dxa"/>
            <w:tcBorders>
              <w:top w:val="single" w:sz="4" w:space="0" w:color="auto"/>
              <w:left w:val="nil"/>
              <w:bottom w:val="single" w:sz="4" w:space="0" w:color="auto"/>
              <w:right w:val="nil"/>
            </w:tcBorders>
            <w:shd w:val="pct5" w:color="auto" w:fill="FFFFFF"/>
          </w:tcPr>
          <w:p w14:paraId="5BA95E3A" w14:textId="77777777" w:rsidR="008D28AD" w:rsidRPr="000A3E55" w:rsidRDefault="00005FED" w:rsidP="008D28AD">
            <w:pPr>
              <w:spacing w:line="240" w:lineRule="auto"/>
              <w:rPr>
                <w:rFonts w:ascii="Calibri" w:hAnsi="Calibri"/>
                <w:i/>
              </w:rPr>
            </w:pPr>
            <w:r>
              <w:rPr>
                <w:rFonts w:ascii="Calibri" w:hAnsi="Calibri"/>
                <w:i/>
              </w:rPr>
              <w:t>Personal transactions (see a</w:t>
            </w:r>
            <w:r w:rsidR="008D28AD" w:rsidRPr="000A3E55">
              <w:rPr>
                <w:rFonts w:ascii="Calibri" w:hAnsi="Calibri"/>
                <w:i/>
              </w:rPr>
              <w:t xml:space="preserve">rticles 28, 29 </w:t>
            </w:r>
            <w:r w:rsidR="0049458B">
              <w:rPr>
                <w:rFonts w:ascii="Calibri" w:hAnsi="Calibri"/>
                <w:i/>
              </w:rPr>
              <w:t>DR</w:t>
            </w:r>
            <w:r w:rsidR="008D28AD" w:rsidRPr="000A3E55">
              <w:rPr>
                <w:rFonts w:ascii="Calibri" w:hAnsi="Calibri"/>
                <w:i/>
              </w:rPr>
              <w:t xml:space="preserve"> 2017/565)</w:t>
            </w:r>
          </w:p>
          <w:p w14:paraId="0B90AB38" w14:textId="77777777" w:rsidR="009D5D64" w:rsidRPr="000A3E55" w:rsidRDefault="009D5D64" w:rsidP="008D28AD">
            <w:pPr>
              <w:spacing w:line="240" w:lineRule="auto"/>
              <w:rPr>
                <w:rFonts w:ascii="Calibri" w:hAnsi="Calibri"/>
                <w:i/>
              </w:rPr>
            </w:pPr>
          </w:p>
        </w:tc>
        <w:tc>
          <w:tcPr>
            <w:tcW w:w="144" w:type="dxa"/>
            <w:tcBorders>
              <w:top w:val="single" w:sz="4" w:space="0" w:color="auto"/>
              <w:left w:val="nil"/>
              <w:bottom w:val="single" w:sz="4" w:space="0" w:color="auto"/>
              <w:right w:val="nil"/>
            </w:tcBorders>
            <w:shd w:val="pct12" w:color="auto" w:fill="FFFFFF"/>
          </w:tcPr>
          <w:p w14:paraId="48053625" w14:textId="77777777" w:rsidR="008D28AD" w:rsidRPr="000A3E55" w:rsidRDefault="008D28AD" w:rsidP="00DB41CD">
            <w:pPr>
              <w:spacing w:after="0" w:line="240" w:lineRule="auto"/>
              <w:rPr>
                <w:rFonts w:ascii="Calibri" w:eastAsia="Times New Roman" w:hAnsi="Calibri" w:cs="Arial"/>
                <w:color w:val="330066"/>
              </w:rPr>
            </w:pPr>
          </w:p>
        </w:tc>
        <w:tc>
          <w:tcPr>
            <w:tcW w:w="4733" w:type="dxa"/>
            <w:tcBorders>
              <w:top w:val="single" w:sz="4" w:space="0" w:color="auto"/>
              <w:left w:val="nil"/>
              <w:bottom w:val="single" w:sz="4" w:space="0" w:color="auto"/>
              <w:right w:val="nil"/>
            </w:tcBorders>
          </w:tcPr>
          <w:p w14:paraId="0AFB0921" w14:textId="77777777" w:rsidR="008D28AD" w:rsidRPr="000A3E55" w:rsidRDefault="008D28AD" w:rsidP="00DB41CD">
            <w:pPr>
              <w:tabs>
                <w:tab w:val="left" w:pos="426"/>
              </w:tabs>
              <w:spacing w:after="0" w:line="240" w:lineRule="auto"/>
              <w:outlineLvl w:val="0"/>
              <w:rPr>
                <w:rFonts w:ascii="Calibri" w:eastAsia="Times New Roman" w:hAnsi="Calibri" w:cs="Arial"/>
                <w:b/>
                <w:color w:val="330066"/>
              </w:rPr>
            </w:pPr>
          </w:p>
        </w:tc>
      </w:tr>
      <w:tr w:rsidR="008D28AD" w:rsidRPr="000A3E55" w14:paraId="45BB6653" w14:textId="77777777" w:rsidTr="0049458B">
        <w:tc>
          <w:tcPr>
            <w:tcW w:w="4536" w:type="dxa"/>
            <w:tcBorders>
              <w:top w:val="single" w:sz="4" w:space="0" w:color="auto"/>
              <w:left w:val="nil"/>
              <w:bottom w:val="single" w:sz="4" w:space="0" w:color="auto"/>
              <w:right w:val="nil"/>
            </w:tcBorders>
            <w:shd w:val="pct5" w:color="auto" w:fill="FFFFFF"/>
          </w:tcPr>
          <w:p w14:paraId="3A828BE1" w14:textId="77777777" w:rsidR="008D28AD" w:rsidRPr="000A3E55" w:rsidRDefault="00005FED" w:rsidP="008D28AD">
            <w:pPr>
              <w:spacing w:line="240" w:lineRule="auto"/>
              <w:rPr>
                <w:rFonts w:ascii="Calibri" w:hAnsi="Calibri"/>
                <w:i/>
              </w:rPr>
            </w:pPr>
            <w:r>
              <w:rPr>
                <w:rFonts w:ascii="Calibri" w:hAnsi="Calibri"/>
                <w:i/>
              </w:rPr>
              <w:t>Outsourcing (see a</w:t>
            </w:r>
            <w:r w:rsidR="008D28AD" w:rsidRPr="000A3E55">
              <w:rPr>
                <w:rFonts w:ascii="Calibri" w:hAnsi="Calibri"/>
                <w:i/>
              </w:rPr>
              <w:t xml:space="preserve">rticles 30-32 </w:t>
            </w:r>
            <w:r w:rsidR="0049458B">
              <w:rPr>
                <w:rFonts w:ascii="Calibri" w:hAnsi="Calibri"/>
                <w:i/>
              </w:rPr>
              <w:t>DR</w:t>
            </w:r>
            <w:r w:rsidR="008D28AD" w:rsidRPr="000A3E55">
              <w:rPr>
                <w:rFonts w:ascii="Calibri" w:hAnsi="Calibri"/>
                <w:i/>
              </w:rPr>
              <w:t xml:space="preserve"> 2017/565)</w:t>
            </w:r>
          </w:p>
          <w:p w14:paraId="3D3CFBD3" w14:textId="77777777" w:rsidR="009D5D64" w:rsidRPr="000A3E55" w:rsidRDefault="009D5D64" w:rsidP="008D28AD">
            <w:pPr>
              <w:spacing w:line="240" w:lineRule="auto"/>
              <w:rPr>
                <w:rFonts w:ascii="Calibri" w:hAnsi="Calibri"/>
                <w:i/>
              </w:rPr>
            </w:pPr>
          </w:p>
        </w:tc>
        <w:tc>
          <w:tcPr>
            <w:tcW w:w="144" w:type="dxa"/>
            <w:tcBorders>
              <w:top w:val="single" w:sz="4" w:space="0" w:color="auto"/>
              <w:left w:val="nil"/>
              <w:bottom w:val="single" w:sz="4" w:space="0" w:color="auto"/>
              <w:right w:val="nil"/>
            </w:tcBorders>
            <w:shd w:val="pct12" w:color="auto" w:fill="FFFFFF"/>
          </w:tcPr>
          <w:p w14:paraId="67959342" w14:textId="77777777" w:rsidR="008D28AD" w:rsidRPr="000A3E55" w:rsidRDefault="008D28AD" w:rsidP="00DB41CD">
            <w:pPr>
              <w:spacing w:after="0" w:line="240" w:lineRule="auto"/>
              <w:rPr>
                <w:rFonts w:ascii="Calibri" w:eastAsia="Times New Roman" w:hAnsi="Calibri" w:cs="Arial"/>
                <w:color w:val="330066"/>
              </w:rPr>
            </w:pPr>
          </w:p>
        </w:tc>
        <w:tc>
          <w:tcPr>
            <w:tcW w:w="4733" w:type="dxa"/>
            <w:tcBorders>
              <w:top w:val="single" w:sz="4" w:space="0" w:color="auto"/>
              <w:left w:val="nil"/>
              <w:bottom w:val="single" w:sz="4" w:space="0" w:color="auto"/>
              <w:right w:val="nil"/>
            </w:tcBorders>
          </w:tcPr>
          <w:p w14:paraId="703F415C" w14:textId="77777777" w:rsidR="008D28AD" w:rsidRPr="000A3E55" w:rsidRDefault="008D28AD" w:rsidP="00DB41CD">
            <w:pPr>
              <w:tabs>
                <w:tab w:val="left" w:pos="426"/>
              </w:tabs>
              <w:spacing w:after="0" w:line="240" w:lineRule="auto"/>
              <w:outlineLvl w:val="0"/>
              <w:rPr>
                <w:rFonts w:ascii="Calibri" w:eastAsia="Times New Roman" w:hAnsi="Calibri" w:cs="Arial"/>
                <w:b/>
                <w:color w:val="330066"/>
              </w:rPr>
            </w:pPr>
          </w:p>
        </w:tc>
      </w:tr>
      <w:tr w:rsidR="00AE1EEC" w:rsidRPr="000A3E55" w14:paraId="50FF42DF" w14:textId="77777777" w:rsidTr="0049458B">
        <w:tc>
          <w:tcPr>
            <w:tcW w:w="4536" w:type="dxa"/>
            <w:tcBorders>
              <w:top w:val="single" w:sz="4" w:space="0" w:color="auto"/>
              <w:left w:val="nil"/>
              <w:bottom w:val="single" w:sz="4" w:space="0" w:color="auto"/>
              <w:right w:val="nil"/>
            </w:tcBorders>
            <w:shd w:val="pct5" w:color="auto" w:fill="FFFFFF"/>
          </w:tcPr>
          <w:p w14:paraId="41515A64" w14:textId="77777777" w:rsidR="00AE1EEC" w:rsidRPr="00A43D75" w:rsidRDefault="00AE1EEC" w:rsidP="00AE1EEC">
            <w:pPr>
              <w:spacing w:line="240" w:lineRule="auto"/>
              <w:rPr>
                <w:rFonts w:ascii="Calibri" w:hAnsi="Calibri"/>
                <w:i/>
              </w:rPr>
            </w:pPr>
            <w:r>
              <w:rPr>
                <w:rFonts w:ascii="Calibri" w:hAnsi="Calibri"/>
                <w:i/>
              </w:rPr>
              <w:t>Conflicts of interest</w:t>
            </w:r>
            <w:r w:rsidRPr="00A43D75">
              <w:rPr>
                <w:rFonts w:ascii="Calibri" w:hAnsi="Calibri"/>
                <w:i/>
              </w:rPr>
              <w:t xml:space="preserve"> (</w:t>
            </w:r>
            <w:r>
              <w:rPr>
                <w:rFonts w:ascii="Calibri" w:hAnsi="Calibri"/>
                <w:i/>
              </w:rPr>
              <w:t xml:space="preserve">see </w:t>
            </w:r>
            <w:r w:rsidRPr="00A43D75">
              <w:rPr>
                <w:rFonts w:ascii="Calibri" w:hAnsi="Calibri"/>
                <w:i/>
              </w:rPr>
              <w:t>arti</w:t>
            </w:r>
            <w:r>
              <w:rPr>
                <w:rFonts w:ascii="Calibri" w:hAnsi="Calibri"/>
                <w:i/>
              </w:rPr>
              <w:t>cle</w:t>
            </w:r>
            <w:r w:rsidRPr="00A43D75">
              <w:rPr>
                <w:rFonts w:ascii="Calibri" w:hAnsi="Calibri"/>
                <w:i/>
              </w:rPr>
              <w:t xml:space="preserve"> 33-</w:t>
            </w:r>
            <w:r>
              <w:rPr>
                <w:rFonts w:ascii="Calibri" w:hAnsi="Calibri"/>
                <w:i/>
              </w:rPr>
              <w:t>35</w:t>
            </w:r>
            <w:r w:rsidRPr="00A43D75">
              <w:rPr>
                <w:rFonts w:ascii="Calibri" w:hAnsi="Calibri"/>
                <w:i/>
              </w:rPr>
              <w:t xml:space="preserve"> </w:t>
            </w:r>
            <w:r>
              <w:rPr>
                <w:rFonts w:ascii="Calibri" w:hAnsi="Calibri"/>
                <w:i/>
              </w:rPr>
              <w:t>DR 2017/565</w:t>
            </w:r>
            <w:r w:rsidRPr="00A43D75">
              <w:rPr>
                <w:rFonts w:ascii="Calibri" w:hAnsi="Calibri"/>
                <w:i/>
              </w:rPr>
              <w:t>)</w:t>
            </w:r>
          </w:p>
          <w:p w14:paraId="690578CE" w14:textId="77777777" w:rsidR="00AE1EEC" w:rsidRPr="00A43D75" w:rsidRDefault="00AE1EEC" w:rsidP="00AE1EEC">
            <w:pPr>
              <w:spacing w:line="240" w:lineRule="auto"/>
              <w:rPr>
                <w:rFonts w:ascii="Calibri" w:hAnsi="Calibri"/>
                <w:i/>
              </w:rPr>
            </w:pPr>
          </w:p>
        </w:tc>
        <w:tc>
          <w:tcPr>
            <w:tcW w:w="144" w:type="dxa"/>
            <w:tcBorders>
              <w:top w:val="single" w:sz="4" w:space="0" w:color="auto"/>
              <w:left w:val="nil"/>
              <w:bottom w:val="single" w:sz="4" w:space="0" w:color="auto"/>
              <w:right w:val="nil"/>
            </w:tcBorders>
            <w:shd w:val="pct12" w:color="auto" w:fill="FFFFFF"/>
          </w:tcPr>
          <w:p w14:paraId="11F865CF" w14:textId="77777777" w:rsidR="00AE1EEC" w:rsidRPr="000A3E55" w:rsidRDefault="00AE1EEC" w:rsidP="00AE1EEC">
            <w:pPr>
              <w:spacing w:after="0" w:line="240" w:lineRule="auto"/>
              <w:rPr>
                <w:rFonts w:ascii="Calibri" w:eastAsia="Times New Roman" w:hAnsi="Calibri" w:cs="Arial"/>
                <w:color w:val="330066"/>
              </w:rPr>
            </w:pPr>
          </w:p>
        </w:tc>
        <w:tc>
          <w:tcPr>
            <w:tcW w:w="4733" w:type="dxa"/>
            <w:tcBorders>
              <w:top w:val="single" w:sz="4" w:space="0" w:color="auto"/>
              <w:left w:val="nil"/>
              <w:bottom w:val="single" w:sz="4" w:space="0" w:color="auto"/>
              <w:right w:val="nil"/>
            </w:tcBorders>
          </w:tcPr>
          <w:p w14:paraId="01666A0E" w14:textId="77777777" w:rsidR="00AE1EEC" w:rsidRPr="000A3E55" w:rsidRDefault="00AE1EEC" w:rsidP="00AE1EEC">
            <w:pPr>
              <w:tabs>
                <w:tab w:val="left" w:pos="426"/>
              </w:tabs>
              <w:spacing w:after="0" w:line="240" w:lineRule="auto"/>
              <w:outlineLvl w:val="0"/>
              <w:rPr>
                <w:rFonts w:ascii="Calibri" w:eastAsia="Times New Roman" w:hAnsi="Calibri" w:cs="Arial"/>
                <w:b/>
                <w:color w:val="330066"/>
              </w:rPr>
            </w:pPr>
          </w:p>
        </w:tc>
      </w:tr>
      <w:tr w:rsidR="00AE1EEC" w:rsidRPr="000A3E55" w14:paraId="04216DB9" w14:textId="77777777" w:rsidTr="0049458B">
        <w:tc>
          <w:tcPr>
            <w:tcW w:w="4536" w:type="dxa"/>
            <w:tcBorders>
              <w:top w:val="single" w:sz="4" w:space="0" w:color="auto"/>
              <w:left w:val="nil"/>
              <w:bottom w:val="single" w:sz="4" w:space="0" w:color="auto"/>
              <w:right w:val="nil"/>
            </w:tcBorders>
            <w:shd w:val="pct5" w:color="auto" w:fill="FFFFFF"/>
          </w:tcPr>
          <w:p w14:paraId="6BB55028" w14:textId="77777777" w:rsidR="00AE1EEC" w:rsidRPr="008925D4" w:rsidRDefault="00C24940" w:rsidP="00AE1EEC">
            <w:pPr>
              <w:spacing w:line="240" w:lineRule="auto"/>
              <w:rPr>
                <w:rFonts w:ascii="Calibri" w:hAnsi="Calibri"/>
                <w:i/>
                <w:highlight w:val="yellow"/>
              </w:rPr>
            </w:pPr>
            <w:r>
              <w:rPr>
                <w:rFonts w:ascii="Calibri" w:hAnsi="Calibri"/>
                <w:i/>
              </w:rPr>
              <w:t>Client categorisation</w:t>
            </w:r>
            <w:r w:rsidR="00AE1EEC" w:rsidRPr="00AE1EEC">
              <w:rPr>
                <w:rFonts w:ascii="Calibri" w:hAnsi="Calibri"/>
                <w:i/>
              </w:rPr>
              <w:t xml:space="preserve"> (see article 45 DR 2017/565)</w:t>
            </w:r>
          </w:p>
        </w:tc>
        <w:tc>
          <w:tcPr>
            <w:tcW w:w="144" w:type="dxa"/>
            <w:tcBorders>
              <w:top w:val="single" w:sz="4" w:space="0" w:color="auto"/>
              <w:left w:val="nil"/>
              <w:bottom w:val="single" w:sz="4" w:space="0" w:color="auto"/>
              <w:right w:val="nil"/>
            </w:tcBorders>
            <w:shd w:val="pct12" w:color="auto" w:fill="FFFFFF"/>
          </w:tcPr>
          <w:p w14:paraId="25D11075" w14:textId="77777777" w:rsidR="00AE1EEC" w:rsidRPr="000A3E55" w:rsidRDefault="00AE1EEC" w:rsidP="00AE1EEC">
            <w:pPr>
              <w:spacing w:after="0" w:line="240" w:lineRule="auto"/>
              <w:rPr>
                <w:rFonts w:ascii="Calibri" w:eastAsia="Times New Roman" w:hAnsi="Calibri" w:cs="Arial"/>
                <w:color w:val="330066"/>
              </w:rPr>
            </w:pPr>
          </w:p>
        </w:tc>
        <w:tc>
          <w:tcPr>
            <w:tcW w:w="4733" w:type="dxa"/>
            <w:tcBorders>
              <w:top w:val="single" w:sz="4" w:space="0" w:color="auto"/>
              <w:left w:val="nil"/>
              <w:bottom w:val="single" w:sz="4" w:space="0" w:color="auto"/>
              <w:right w:val="nil"/>
            </w:tcBorders>
          </w:tcPr>
          <w:p w14:paraId="60713124" w14:textId="77777777" w:rsidR="00AE1EEC" w:rsidRDefault="00AE1EEC" w:rsidP="00AE1EEC">
            <w:pPr>
              <w:tabs>
                <w:tab w:val="left" w:pos="426"/>
              </w:tabs>
              <w:spacing w:after="0" w:line="240" w:lineRule="auto"/>
              <w:outlineLvl w:val="0"/>
              <w:rPr>
                <w:rFonts w:ascii="Calibri" w:eastAsia="Times New Roman" w:hAnsi="Calibri" w:cs="Arial"/>
                <w:b/>
                <w:color w:val="330066"/>
              </w:rPr>
            </w:pPr>
          </w:p>
          <w:p w14:paraId="71772DB5" w14:textId="77777777" w:rsidR="00617E71" w:rsidRPr="000A3E55" w:rsidRDefault="00617E71" w:rsidP="00AE1EEC">
            <w:pPr>
              <w:tabs>
                <w:tab w:val="left" w:pos="426"/>
              </w:tabs>
              <w:spacing w:after="0" w:line="240" w:lineRule="auto"/>
              <w:outlineLvl w:val="0"/>
              <w:rPr>
                <w:rFonts w:ascii="Calibri" w:eastAsia="Times New Roman" w:hAnsi="Calibri" w:cs="Arial"/>
                <w:b/>
                <w:color w:val="330066"/>
              </w:rPr>
            </w:pPr>
          </w:p>
        </w:tc>
      </w:tr>
      <w:tr w:rsidR="00AE1EEC" w:rsidRPr="000A3E55" w14:paraId="2980C093" w14:textId="77777777" w:rsidTr="0049458B">
        <w:tc>
          <w:tcPr>
            <w:tcW w:w="4536" w:type="dxa"/>
            <w:tcBorders>
              <w:top w:val="single" w:sz="4" w:space="0" w:color="auto"/>
              <w:left w:val="nil"/>
              <w:bottom w:val="single" w:sz="4" w:space="0" w:color="auto"/>
              <w:right w:val="nil"/>
            </w:tcBorders>
            <w:shd w:val="pct5" w:color="auto" w:fill="FFFFFF"/>
          </w:tcPr>
          <w:p w14:paraId="117AF427" w14:textId="77777777" w:rsidR="00AE1EEC" w:rsidRPr="00D8664F" w:rsidRDefault="00C24940" w:rsidP="00AE1EEC">
            <w:pPr>
              <w:spacing w:line="240" w:lineRule="auto"/>
              <w:rPr>
                <w:rFonts w:ascii="Calibri" w:hAnsi="Calibri"/>
                <w:i/>
              </w:rPr>
            </w:pPr>
            <w:r w:rsidRPr="00D8664F">
              <w:rPr>
                <w:rFonts w:ascii="Calibri" w:hAnsi="Calibri"/>
                <w:i/>
              </w:rPr>
              <w:t>Information to clients</w:t>
            </w:r>
            <w:r w:rsidR="00AE1EEC" w:rsidRPr="00D8664F">
              <w:rPr>
                <w:rFonts w:ascii="Calibri" w:hAnsi="Calibri"/>
                <w:i/>
              </w:rPr>
              <w:t xml:space="preserve"> (see article 46</w:t>
            </w:r>
            <w:r w:rsidRPr="00D8664F">
              <w:rPr>
                <w:rFonts w:ascii="Calibri" w:hAnsi="Calibri"/>
                <w:i/>
              </w:rPr>
              <w:t>-</w:t>
            </w:r>
            <w:r w:rsidR="00AE1EEC" w:rsidRPr="00D8664F">
              <w:rPr>
                <w:rFonts w:ascii="Calibri" w:hAnsi="Calibri"/>
                <w:i/>
              </w:rPr>
              <w:t xml:space="preserve">49 DR 2017/565) </w:t>
            </w:r>
          </w:p>
        </w:tc>
        <w:tc>
          <w:tcPr>
            <w:tcW w:w="144" w:type="dxa"/>
            <w:tcBorders>
              <w:top w:val="single" w:sz="4" w:space="0" w:color="auto"/>
              <w:left w:val="nil"/>
              <w:bottom w:val="single" w:sz="4" w:space="0" w:color="auto"/>
              <w:right w:val="nil"/>
            </w:tcBorders>
            <w:shd w:val="pct12" w:color="auto" w:fill="FFFFFF"/>
          </w:tcPr>
          <w:p w14:paraId="34F53A82" w14:textId="77777777" w:rsidR="00AE1EEC" w:rsidRPr="000A3E55" w:rsidRDefault="00AE1EEC" w:rsidP="00AE1EEC">
            <w:pPr>
              <w:spacing w:after="0" w:line="240" w:lineRule="auto"/>
              <w:rPr>
                <w:rFonts w:ascii="Calibri" w:eastAsia="Times New Roman" w:hAnsi="Calibri" w:cs="Arial"/>
                <w:color w:val="330066"/>
              </w:rPr>
            </w:pPr>
          </w:p>
        </w:tc>
        <w:tc>
          <w:tcPr>
            <w:tcW w:w="4733" w:type="dxa"/>
            <w:tcBorders>
              <w:top w:val="single" w:sz="4" w:space="0" w:color="auto"/>
              <w:left w:val="nil"/>
              <w:bottom w:val="single" w:sz="4" w:space="0" w:color="auto"/>
              <w:right w:val="nil"/>
            </w:tcBorders>
          </w:tcPr>
          <w:p w14:paraId="3ED26BDD" w14:textId="77777777" w:rsidR="00AE1EEC" w:rsidRPr="000A3E55" w:rsidRDefault="00AE1EEC" w:rsidP="00AE1EEC">
            <w:pPr>
              <w:tabs>
                <w:tab w:val="left" w:pos="426"/>
              </w:tabs>
              <w:spacing w:after="0" w:line="240" w:lineRule="auto"/>
              <w:outlineLvl w:val="0"/>
              <w:rPr>
                <w:rFonts w:ascii="Calibri" w:eastAsia="Times New Roman" w:hAnsi="Calibri" w:cs="Arial"/>
                <w:b/>
                <w:color w:val="330066"/>
              </w:rPr>
            </w:pPr>
          </w:p>
        </w:tc>
      </w:tr>
      <w:tr w:rsidR="00AE1EEC" w:rsidRPr="00AE1EEC" w14:paraId="01F495C3" w14:textId="77777777" w:rsidTr="0049458B">
        <w:tc>
          <w:tcPr>
            <w:tcW w:w="4536" w:type="dxa"/>
            <w:tcBorders>
              <w:top w:val="single" w:sz="4" w:space="0" w:color="auto"/>
              <w:left w:val="nil"/>
              <w:bottom w:val="single" w:sz="4" w:space="0" w:color="auto"/>
              <w:right w:val="nil"/>
            </w:tcBorders>
            <w:shd w:val="pct5" w:color="auto" w:fill="FFFFFF"/>
          </w:tcPr>
          <w:p w14:paraId="4B687F39" w14:textId="58D8DE99" w:rsidR="00AE1EEC" w:rsidRPr="00D8664F" w:rsidRDefault="00AE1EEC" w:rsidP="00C24940">
            <w:pPr>
              <w:spacing w:line="240" w:lineRule="auto"/>
              <w:rPr>
                <w:rFonts w:ascii="Calibri" w:hAnsi="Calibri"/>
                <w:i/>
                <w:lang w:val="en-US"/>
              </w:rPr>
            </w:pPr>
            <w:r w:rsidRPr="00D8664F">
              <w:rPr>
                <w:rFonts w:ascii="Calibri" w:hAnsi="Calibri"/>
                <w:i/>
                <w:lang w:val="en-US"/>
              </w:rPr>
              <w:t xml:space="preserve">Cost </w:t>
            </w:r>
            <w:r w:rsidR="00C24940" w:rsidRPr="00D8664F">
              <w:rPr>
                <w:rFonts w:ascii="Calibri" w:hAnsi="Calibri"/>
                <w:i/>
                <w:lang w:val="en-US"/>
              </w:rPr>
              <w:t>and charges</w:t>
            </w:r>
            <w:r w:rsidRPr="00D8664F">
              <w:rPr>
                <w:rFonts w:ascii="Calibri" w:hAnsi="Calibri"/>
                <w:i/>
                <w:lang w:val="en-US"/>
              </w:rPr>
              <w:t xml:space="preserve"> (see article 50 </w:t>
            </w:r>
            <w:r w:rsidR="007B3C63">
              <w:rPr>
                <w:rFonts w:ascii="Calibri" w:hAnsi="Calibri"/>
                <w:i/>
                <w:lang w:val="en-US"/>
              </w:rPr>
              <w:t>a</w:t>
            </w:r>
            <w:r w:rsidRPr="00D8664F">
              <w:rPr>
                <w:rFonts w:ascii="Calibri" w:hAnsi="Calibri"/>
                <w:i/>
                <w:lang w:val="en-US"/>
              </w:rPr>
              <w:t>n</w:t>
            </w:r>
            <w:r w:rsidR="007B3C63">
              <w:rPr>
                <w:rFonts w:ascii="Calibri" w:hAnsi="Calibri"/>
                <w:i/>
                <w:lang w:val="en-US"/>
              </w:rPr>
              <w:t>d</w:t>
            </w:r>
            <w:r w:rsidRPr="00D8664F">
              <w:rPr>
                <w:rFonts w:ascii="Calibri" w:hAnsi="Calibri"/>
                <w:i/>
                <w:lang w:val="en-US"/>
              </w:rPr>
              <w:t xml:space="preserve"> 51 DR 2017/565)</w:t>
            </w:r>
          </w:p>
        </w:tc>
        <w:tc>
          <w:tcPr>
            <w:tcW w:w="144" w:type="dxa"/>
            <w:tcBorders>
              <w:top w:val="single" w:sz="4" w:space="0" w:color="auto"/>
              <w:left w:val="nil"/>
              <w:bottom w:val="single" w:sz="4" w:space="0" w:color="auto"/>
              <w:right w:val="nil"/>
            </w:tcBorders>
            <w:shd w:val="pct12" w:color="auto" w:fill="FFFFFF"/>
          </w:tcPr>
          <w:p w14:paraId="02E593EA" w14:textId="77777777" w:rsidR="00AE1EEC" w:rsidRPr="00AE1EEC" w:rsidRDefault="00AE1EEC" w:rsidP="00AE1EEC">
            <w:pPr>
              <w:spacing w:after="0" w:line="240" w:lineRule="auto"/>
              <w:rPr>
                <w:rFonts w:ascii="Calibri" w:eastAsia="Times New Roman" w:hAnsi="Calibri" w:cs="Arial"/>
                <w:color w:val="330066"/>
                <w:lang w:val="en-US"/>
              </w:rPr>
            </w:pPr>
          </w:p>
        </w:tc>
        <w:tc>
          <w:tcPr>
            <w:tcW w:w="4733" w:type="dxa"/>
            <w:tcBorders>
              <w:top w:val="single" w:sz="4" w:space="0" w:color="auto"/>
              <w:left w:val="nil"/>
              <w:bottom w:val="single" w:sz="4" w:space="0" w:color="auto"/>
              <w:right w:val="nil"/>
            </w:tcBorders>
          </w:tcPr>
          <w:p w14:paraId="3C682231" w14:textId="77777777" w:rsidR="00AE1EEC" w:rsidRPr="00AE1EEC" w:rsidRDefault="00AE1EEC" w:rsidP="00AE1EEC">
            <w:pPr>
              <w:tabs>
                <w:tab w:val="left" w:pos="426"/>
              </w:tabs>
              <w:spacing w:after="0" w:line="240" w:lineRule="auto"/>
              <w:outlineLvl w:val="0"/>
              <w:rPr>
                <w:rFonts w:ascii="Calibri" w:eastAsia="Times New Roman" w:hAnsi="Calibri" w:cs="Arial"/>
                <w:b/>
                <w:color w:val="330066"/>
                <w:lang w:val="en-US"/>
              </w:rPr>
            </w:pPr>
          </w:p>
        </w:tc>
      </w:tr>
      <w:tr w:rsidR="00AE1EEC" w:rsidRPr="000A3E55" w14:paraId="3A718506" w14:textId="77777777" w:rsidTr="0049458B">
        <w:tc>
          <w:tcPr>
            <w:tcW w:w="4536" w:type="dxa"/>
            <w:tcBorders>
              <w:top w:val="single" w:sz="4" w:space="0" w:color="auto"/>
              <w:left w:val="nil"/>
              <w:bottom w:val="single" w:sz="4" w:space="0" w:color="auto"/>
              <w:right w:val="nil"/>
            </w:tcBorders>
            <w:shd w:val="pct5" w:color="auto" w:fill="FFFFFF"/>
          </w:tcPr>
          <w:p w14:paraId="1F2209CC" w14:textId="77777777" w:rsidR="00AE1EEC" w:rsidRPr="000A3E55" w:rsidRDefault="00757293" w:rsidP="00AE1EEC">
            <w:pPr>
              <w:spacing w:line="240" w:lineRule="auto"/>
              <w:rPr>
                <w:rFonts w:ascii="Calibri" w:hAnsi="Calibri"/>
                <w:i/>
              </w:rPr>
            </w:pPr>
            <w:r>
              <w:rPr>
                <w:rFonts w:ascii="Calibri" w:hAnsi="Calibri"/>
                <w:i/>
              </w:rPr>
              <w:t>Suitability</w:t>
            </w:r>
            <w:r w:rsidR="00C24940">
              <w:rPr>
                <w:rFonts w:ascii="Calibri" w:hAnsi="Calibri"/>
                <w:i/>
              </w:rPr>
              <w:t xml:space="preserve"> and appropriateness</w:t>
            </w:r>
            <w:r>
              <w:rPr>
                <w:rFonts w:ascii="Calibri" w:hAnsi="Calibri"/>
                <w:i/>
              </w:rPr>
              <w:t xml:space="preserve"> (see article 54-58 DR 2017/565)</w:t>
            </w:r>
          </w:p>
        </w:tc>
        <w:tc>
          <w:tcPr>
            <w:tcW w:w="144" w:type="dxa"/>
            <w:tcBorders>
              <w:top w:val="single" w:sz="4" w:space="0" w:color="auto"/>
              <w:left w:val="nil"/>
              <w:bottom w:val="single" w:sz="4" w:space="0" w:color="auto"/>
              <w:right w:val="nil"/>
            </w:tcBorders>
            <w:shd w:val="pct12" w:color="auto" w:fill="FFFFFF"/>
          </w:tcPr>
          <w:p w14:paraId="77DE942D" w14:textId="77777777" w:rsidR="00AE1EEC" w:rsidRPr="000A3E55" w:rsidRDefault="00AE1EEC" w:rsidP="00AE1EEC">
            <w:pPr>
              <w:spacing w:after="0" w:line="240" w:lineRule="auto"/>
              <w:rPr>
                <w:rFonts w:ascii="Calibri" w:eastAsia="Times New Roman" w:hAnsi="Calibri" w:cs="Arial"/>
                <w:color w:val="330066"/>
              </w:rPr>
            </w:pPr>
          </w:p>
        </w:tc>
        <w:tc>
          <w:tcPr>
            <w:tcW w:w="4733" w:type="dxa"/>
            <w:tcBorders>
              <w:top w:val="single" w:sz="4" w:space="0" w:color="auto"/>
              <w:left w:val="nil"/>
              <w:bottom w:val="single" w:sz="4" w:space="0" w:color="auto"/>
              <w:right w:val="nil"/>
            </w:tcBorders>
          </w:tcPr>
          <w:p w14:paraId="30E7749D" w14:textId="77777777" w:rsidR="00AE1EEC" w:rsidRPr="000A3E55" w:rsidRDefault="00AE1EEC" w:rsidP="00AE1EEC">
            <w:pPr>
              <w:tabs>
                <w:tab w:val="left" w:pos="426"/>
              </w:tabs>
              <w:spacing w:after="0" w:line="240" w:lineRule="auto"/>
              <w:outlineLvl w:val="0"/>
              <w:rPr>
                <w:rFonts w:ascii="Calibri" w:eastAsia="Times New Roman" w:hAnsi="Calibri" w:cs="Arial"/>
                <w:b/>
                <w:color w:val="330066"/>
              </w:rPr>
            </w:pPr>
          </w:p>
        </w:tc>
      </w:tr>
      <w:tr w:rsidR="00AE1EEC" w:rsidRPr="000A3E55" w14:paraId="1CB99850" w14:textId="77777777" w:rsidTr="0049458B">
        <w:tc>
          <w:tcPr>
            <w:tcW w:w="4536" w:type="dxa"/>
            <w:tcBorders>
              <w:top w:val="single" w:sz="4" w:space="0" w:color="auto"/>
              <w:left w:val="nil"/>
              <w:bottom w:val="single" w:sz="4" w:space="0" w:color="auto"/>
              <w:right w:val="nil"/>
            </w:tcBorders>
            <w:shd w:val="pct5" w:color="auto" w:fill="FFFFFF"/>
          </w:tcPr>
          <w:p w14:paraId="300916CA" w14:textId="77777777" w:rsidR="00AE1EEC" w:rsidRPr="000A3E55" w:rsidRDefault="00C24940" w:rsidP="00AE1EEC">
            <w:pPr>
              <w:spacing w:line="240" w:lineRule="auto"/>
              <w:rPr>
                <w:rFonts w:ascii="Calibri" w:hAnsi="Calibri"/>
                <w:i/>
              </w:rPr>
            </w:pPr>
            <w:r>
              <w:rPr>
                <w:rFonts w:ascii="Calibri" w:hAnsi="Calibri"/>
                <w:i/>
              </w:rPr>
              <w:t>Reporting to clients (see article 59-63 DR 2017/565)</w:t>
            </w:r>
          </w:p>
        </w:tc>
        <w:tc>
          <w:tcPr>
            <w:tcW w:w="144" w:type="dxa"/>
            <w:tcBorders>
              <w:top w:val="single" w:sz="4" w:space="0" w:color="auto"/>
              <w:left w:val="nil"/>
              <w:bottom w:val="single" w:sz="4" w:space="0" w:color="auto"/>
              <w:right w:val="nil"/>
            </w:tcBorders>
            <w:shd w:val="pct12" w:color="auto" w:fill="FFFFFF"/>
          </w:tcPr>
          <w:p w14:paraId="67BC1487" w14:textId="77777777" w:rsidR="00AE1EEC" w:rsidRPr="000A3E55" w:rsidRDefault="00AE1EEC" w:rsidP="00AE1EEC">
            <w:pPr>
              <w:spacing w:after="0" w:line="240" w:lineRule="auto"/>
              <w:rPr>
                <w:rFonts w:ascii="Calibri" w:eastAsia="Times New Roman" w:hAnsi="Calibri" w:cs="Arial"/>
                <w:color w:val="330066"/>
              </w:rPr>
            </w:pPr>
          </w:p>
        </w:tc>
        <w:tc>
          <w:tcPr>
            <w:tcW w:w="4733" w:type="dxa"/>
            <w:tcBorders>
              <w:top w:val="single" w:sz="4" w:space="0" w:color="auto"/>
              <w:left w:val="nil"/>
              <w:bottom w:val="single" w:sz="4" w:space="0" w:color="auto"/>
              <w:right w:val="nil"/>
            </w:tcBorders>
          </w:tcPr>
          <w:p w14:paraId="356C7462" w14:textId="77777777" w:rsidR="00AE1EEC" w:rsidRPr="000A3E55" w:rsidRDefault="00AE1EEC" w:rsidP="00AE1EEC">
            <w:pPr>
              <w:tabs>
                <w:tab w:val="left" w:pos="426"/>
              </w:tabs>
              <w:spacing w:after="0" w:line="240" w:lineRule="auto"/>
              <w:outlineLvl w:val="0"/>
              <w:rPr>
                <w:rFonts w:ascii="Calibri" w:eastAsia="Times New Roman" w:hAnsi="Calibri" w:cs="Arial"/>
                <w:b/>
                <w:color w:val="330066"/>
              </w:rPr>
            </w:pPr>
          </w:p>
        </w:tc>
      </w:tr>
      <w:tr w:rsidR="00AE1EEC" w:rsidRPr="000A3E55" w14:paraId="7A2620E4" w14:textId="77777777" w:rsidTr="0049458B">
        <w:tc>
          <w:tcPr>
            <w:tcW w:w="4536" w:type="dxa"/>
            <w:tcBorders>
              <w:top w:val="single" w:sz="4" w:space="0" w:color="auto"/>
              <w:left w:val="nil"/>
              <w:bottom w:val="single" w:sz="4" w:space="0" w:color="auto"/>
              <w:right w:val="nil"/>
            </w:tcBorders>
            <w:shd w:val="pct5" w:color="auto" w:fill="FFFFFF"/>
          </w:tcPr>
          <w:p w14:paraId="1714FE32" w14:textId="77777777" w:rsidR="00AE1EEC" w:rsidRPr="000A3E55" w:rsidRDefault="00C24940" w:rsidP="00AE1EEC">
            <w:pPr>
              <w:spacing w:line="240" w:lineRule="auto"/>
              <w:rPr>
                <w:rFonts w:ascii="Calibri" w:hAnsi="Calibri"/>
                <w:i/>
              </w:rPr>
            </w:pPr>
            <w:r>
              <w:rPr>
                <w:rFonts w:ascii="Calibri" w:hAnsi="Calibri"/>
                <w:i/>
              </w:rPr>
              <w:t>Best execution (see article 64-66 DR 2017/565)</w:t>
            </w:r>
          </w:p>
        </w:tc>
        <w:tc>
          <w:tcPr>
            <w:tcW w:w="144" w:type="dxa"/>
            <w:tcBorders>
              <w:top w:val="single" w:sz="4" w:space="0" w:color="auto"/>
              <w:left w:val="nil"/>
              <w:bottom w:val="single" w:sz="4" w:space="0" w:color="auto"/>
              <w:right w:val="nil"/>
            </w:tcBorders>
            <w:shd w:val="pct12" w:color="auto" w:fill="FFFFFF"/>
          </w:tcPr>
          <w:p w14:paraId="1B68826F" w14:textId="77777777" w:rsidR="00AE1EEC" w:rsidRPr="000A3E55" w:rsidRDefault="00AE1EEC" w:rsidP="00AE1EEC">
            <w:pPr>
              <w:spacing w:after="0" w:line="240" w:lineRule="auto"/>
              <w:rPr>
                <w:rFonts w:ascii="Calibri" w:eastAsia="Times New Roman" w:hAnsi="Calibri" w:cs="Arial"/>
                <w:color w:val="330066"/>
              </w:rPr>
            </w:pPr>
          </w:p>
        </w:tc>
        <w:tc>
          <w:tcPr>
            <w:tcW w:w="4733" w:type="dxa"/>
            <w:tcBorders>
              <w:top w:val="single" w:sz="4" w:space="0" w:color="auto"/>
              <w:left w:val="nil"/>
              <w:bottom w:val="single" w:sz="4" w:space="0" w:color="auto"/>
              <w:right w:val="nil"/>
            </w:tcBorders>
          </w:tcPr>
          <w:p w14:paraId="13608DA1" w14:textId="77777777" w:rsidR="00AE1EEC" w:rsidRPr="000A3E55" w:rsidRDefault="00AE1EEC" w:rsidP="00AE1EEC">
            <w:pPr>
              <w:tabs>
                <w:tab w:val="left" w:pos="426"/>
              </w:tabs>
              <w:spacing w:after="0" w:line="240" w:lineRule="auto"/>
              <w:outlineLvl w:val="0"/>
              <w:rPr>
                <w:rFonts w:ascii="Calibri" w:eastAsia="Times New Roman" w:hAnsi="Calibri" w:cs="Arial"/>
                <w:b/>
                <w:color w:val="330066"/>
              </w:rPr>
            </w:pPr>
          </w:p>
        </w:tc>
      </w:tr>
      <w:tr w:rsidR="00AE1EEC" w:rsidRPr="000A3E55" w14:paraId="253EDECA" w14:textId="77777777" w:rsidTr="0049458B">
        <w:tc>
          <w:tcPr>
            <w:tcW w:w="4536" w:type="dxa"/>
            <w:tcBorders>
              <w:top w:val="single" w:sz="4" w:space="0" w:color="auto"/>
              <w:left w:val="nil"/>
              <w:bottom w:val="single" w:sz="4" w:space="0" w:color="auto"/>
              <w:right w:val="nil"/>
            </w:tcBorders>
            <w:shd w:val="pct5" w:color="auto" w:fill="FFFFFF"/>
          </w:tcPr>
          <w:p w14:paraId="23C8CF01" w14:textId="76A3CF81" w:rsidR="00AE1EEC" w:rsidRPr="000A3E55" w:rsidRDefault="00AE1EEC" w:rsidP="00AE1EEC">
            <w:pPr>
              <w:spacing w:line="240" w:lineRule="auto"/>
              <w:rPr>
                <w:rFonts w:ascii="Calibri" w:hAnsi="Calibri"/>
                <w:i/>
              </w:rPr>
            </w:pPr>
            <w:r w:rsidRPr="000A3E55">
              <w:rPr>
                <w:rFonts w:ascii="Calibri" w:hAnsi="Calibri"/>
                <w:i/>
              </w:rPr>
              <w:t xml:space="preserve">Client order handling (see Articles 67-70 </w:t>
            </w:r>
            <w:r>
              <w:rPr>
                <w:rFonts w:ascii="Calibri" w:hAnsi="Calibri"/>
                <w:i/>
              </w:rPr>
              <w:t>DR</w:t>
            </w:r>
            <w:r w:rsidRPr="000A3E55">
              <w:rPr>
                <w:rFonts w:ascii="Calibri" w:hAnsi="Calibri"/>
                <w:i/>
              </w:rPr>
              <w:t xml:space="preserve"> 2017/565)</w:t>
            </w:r>
          </w:p>
          <w:p w14:paraId="69BA1CB9" w14:textId="77777777" w:rsidR="00AE1EEC" w:rsidRPr="000A3E55" w:rsidRDefault="00AE1EEC" w:rsidP="00AE1EEC">
            <w:pPr>
              <w:spacing w:line="240" w:lineRule="auto"/>
              <w:rPr>
                <w:rFonts w:ascii="Calibri" w:hAnsi="Calibri"/>
                <w:i/>
              </w:rPr>
            </w:pPr>
          </w:p>
        </w:tc>
        <w:tc>
          <w:tcPr>
            <w:tcW w:w="144" w:type="dxa"/>
            <w:tcBorders>
              <w:top w:val="single" w:sz="4" w:space="0" w:color="auto"/>
              <w:left w:val="nil"/>
              <w:bottom w:val="single" w:sz="4" w:space="0" w:color="auto"/>
              <w:right w:val="nil"/>
            </w:tcBorders>
            <w:shd w:val="pct12" w:color="auto" w:fill="FFFFFF"/>
          </w:tcPr>
          <w:p w14:paraId="23ECCA5D" w14:textId="77777777" w:rsidR="00AE1EEC" w:rsidRPr="000A3E55" w:rsidRDefault="00AE1EEC" w:rsidP="00AE1EEC">
            <w:pPr>
              <w:spacing w:after="0" w:line="240" w:lineRule="auto"/>
              <w:rPr>
                <w:rFonts w:ascii="Calibri" w:eastAsia="Times New Roman" w:hAnsi="Calibri" w:cs="Arial"/>
                <w:color w:val="330066"/>
              </w:rPr>
            </w:pPr>
          </w:p>
        </w:tc>
        <w:tc>
          <w:tcPr>
            <w:tcW w:w="4733" w:type="dxa"/>
            <w:tcBorders>
              <w:top w:val="single" w:sz="4" w:space="0" w:color="auto"/>
              <w:left w:val="nil"/>
              <w:bottom w:val="single" w:sz="4" w:space="0" w:color="auto"/>
              <w:right w:val="nil"/>
            </w:tcBorders>
          </w:tcPr>
          <w:p w14:paraId="4E1C0D81" w14:textId="77777777" w:rsidR="00AE1EEC" w:rsidRPr="000A3E55" w:rsidRDefault="00AE1EEC" w:rsidP="00AE1EEC">
            <w:pPr>
              <w:tabs>
                <w:tab w:val="left" w:pos="426"/>
              </w:tabs>
              <w:spacing w:after="0" w:line="240" w:lineRule="auto"/>
              <w:outlineLvl w:val="0"/>
              <w:rPr>
                <w:rFonts w:ascii="Calibri" w:eastAsia="Times New Roman" w:hAnsi="Calibri" w:cs="Arial"/>
                <w:b/>
                <w:color w:val="330066"/>
              </w:rPr>
            </w:pPr>
          </w:p>
        </w:tc>
      </w:tr>
      <w:tr w:rsidR="00AE1EEC" w:rsidRPr="000A3E55" w14:paraId="701C608F" w14:textId="77777777" w:rsidTr="0049458B">
        <w:tc>
          <w:tcPr>
            <w:tcW w:w="4536" w:type="dxa"/>
            <w:tcBorders>
              <w:top w:val="single" w:sz="4" w:space="0" w:color="auto"/>
              <w:left w:val="nil"/>
              <w:bottom w:val="single" w:sz="4" w:space="0" w:color="auto"/>
              <w:right w:val="nil"/>
            </w:tcBorders>
            <w:shd w:val="pct5" w:color="auto" w:fill="FFFFFF"/>
          </w:tcPr>
          <w:p w14:paraId="77F5A573" w14:textId="72AB3BC2" w:rsidR="00AE1EEC" w:rsidRPr="000A3E55" w:rsidRDefault="00AE1EEC" w:rsidP="00AE1EEC">
            <w:pPr>
              <w:spacing w:line="240" w:lineRule="auto"/>
              <w:rPr>
                <w:rFonts w:ascii="Calibri" w:hAnsi="Calibri"/>
                <w:i/>
              </w:rPr>
            </w:pPr>
            <w:r w:rsidRPr="000A3E55">
              <w:rPr>
                <w:rFonts w:ascii="Calibri" w:hAnsi="Calibri"/>
                <w:i/>
              </w:rPr>
              <w:t xml:space="preserve">Retention of records (see Articles 72-76 </w:t>
            </w:r>
            <w:r>
              <w:rPr>
                <w:rFonts w:ascii="Calibri" w:hAnsi="Calibri"/>
                <w:i/>
              </w:rPr>
              <w:t>DR</w:t>
            </w:r>
            <w:r w:rsidRPr="000A3E55">
              <w:rPr>
                <w:rFonts w:ascii="Calibri" w:hAnsi="Calibri"/>
                <w:i/>
              </w:rPr>
              <w:t xml:space="preserve"> 2017/565)</w:t>
            </w:r>
          </w:p>
          <w:p w14:paraId="25D92437" w14:textId="77777777" w:rsidR="00AE1EEC" w:rsidRPr="000A3E55" w:rsidRDefault="00AE1EEC" w:rsidP="00AE1EEC">
            <w:pPr>
              <w:spacing w:line="240" w:lineRule="auto"/>
              <w:rPr>
                <w:rFonts w:ascii="Calibri" w:hAnsi="Calibri"/>
                <w:i/>
              </w:rPr>
            </w:pPr>
          </w:p>
        </w:tc>
        <w:tc>
          <w:tcPr>
            <w:tcW w:w="144" w:type="dxa"/>
            <w:tcBorders>
              <w:top w:val="single" w:sz="4" w:space="0" w:color="auto"/>
              <w:left w:val="nil"/>
              <w:bottom w:val="single" w:sz="4" w:space="0" w:color="auto"/>
              <w:right w:val="nil"/>
            </w:tcBorders>
            <w:shd w:val="pct12" w:color="auto" w:fill="FFFFFF"/>
          </w:tcPr>
          <w:p w14:paraId="164F1A24" w14:textId="77777777" w:rsidR="00AE1EEC" w:rsidRPr="000A3E55" w:rsidRDefault="00AE1EEC" w:rsidP="00AE1EEC">
            <w:pPr>
              <w:spacing w:after="0" w:line="240" w:lineRule="auto"/>
              <w:rPr>
                <w:rFonts w:ascii="Calibri" w:eastAsia="Times New Roman" w:hAnsi="Calibri" w:cs="Arial"/>
                <w:color w:val="330066"/>
              </w:rPr>
            </w:pPr>
          </w:p>
        </w:tc>
        <w:tc>
          <w:tcPr>
            <w:tcW w:w="4733" w:type="dxa"/>
            <w:tcBorders>
              <w:top w:val="single" w:sz="4" w:space="0" w:color="auto"/>
              <w:left w:val="nil"/>
              <w:bottom w:val="single" w:sz="4" w:space="0" w:color="auto"/>
              <w:right w:val="nil"/>
            </w:tcBorders>
          </w:tcPr>
          <w:p w14:paraId="73AA877B" w14:textId="77777777" w:rsidR="00AE1EEC" w:rsidRPr="000A3E55" w:rsidRDefault="00AE1EEC" w:rsidP="00AE1EEC">
            <w:pPr>
              <w:tabs>
                <w:tab w:val="left" w:pos="426"/>
              </w:tabs>
              <w:spacing w:after="0" w:line="240" w:lineRule="auto"/>
              <w:outlineLvl w:val="0"/>
              <w:rPr>
                <w:rFonts w:ascii="Calibri" w:eastAsia="Times New Roman" w:hAnsi="Calibri" w:cs="Arial"/>
                <w:b/>
                <w:color w:val="330066"/>
              </w:rPr>
            </w:pPr>
          </w:p>
        </w:tc>
      </w:tr>
      <w:tr w:rsidR="00C24940" w:rsidRPr="000A3E55" w14:paraId="7F6E516C" w14:textId="77777777" w:rsidTr="0049458B">
        <w:tc>
          <w:tcPr>
            <w:tcW w:w="4536" w:type="dxa"/>
            <w:tcBorders>
              <w:top w:val="single" w:sz="4" w:space="0" w:color="auto"/>
              <w:left w:val="nil"/>
              <w:bottom w:val="single" w:sz="4" w:space="0" w:color="auto"/>
              <w:right w:val="nil"/>
            </w:tcBorders>
            <w:shd w:val="pct5" w:color="auto" w:fill="FFFFFF"/>
          </w:tcPr>
          <w:p w14:paraId="0BB136ED" w14:textId="43D30D04" w:rsidR="00C24940" w:rsidRPr="000A3E55" w:rsidRDefault="00C24940" w:rsidP="00C24940">
            <w:pPr>
              <w:spacing w:line="240" w:lineRule="auto"/>
              <w:rPr>
                <w:rFonts w:ascii="Calibri" w:hAnsi="Calibri"/>
                <w:i/>
              </w:rPr>
            </w:pPr>
            <w:r>
              <w:rPr>
                <w:rFonts w:ascii="Calibri" w:hAnsi="Calibri"/>
                <w:i/>
              </w:rPr>
              <w:lastRenderedPageBreak/>
              <w:t>Segrega</w:t>
            </w:r>
            <w:r w:rsidR="00A469AC">
              <w:rPr>
                <w:rFonts w:ascii="Calibri" w:hAnsi="Calibri"/>
                <w:i/>
              </w:rPr>
              <w:t xml:space="preserve">tion of assets (see Section 4:87 </w:t>
            </w:r>
            <w:proofErr w:type="spellStart"/>
            <w:r w:rsidRPr="000A3E55">
              <w:rPr>
                <w:rFonts w:ascii="Calibri" w:hAnsi="Calibri"/>
                <w:i/>
              </w:rPr>
              <w:t>Wft</w:t>
            </w:r>
            <w:proofErr w:type="spellEnd"/>
            <w:r w:rsidRPr="000A3E55">
              <w:rPr>
                <w:rFonts w:ascii="Calibri" w:hAnsi="Calibri"/>
                <w:i/>
              </w:rPr>
              <w:t xml:space="preserve"> in conjunction with </w:t>
            </w:r>
            <w:r w:rsidR="00D8664F">
              <w:rPr>
                <w:rFonts w:ascii="Calibri" w:hAnsi="Calibri"/>
                <w:i/>
              </w:rPr>
              <w:t xml:space="preserve">article </w:t>
            </w:r>
            <w:r w:rsidR="00005FED">
              <w:rPr>
                <w:rFonts w:ascii="Calibri" w:hAnsi="Calibri"/>
                <w:i/>
              </w:rPr>
              <w:t>165-165g</w:t>
            </w:r>
            <w:r w:rsidRPr="000A3E55">
              <w:rPr>
                <w:rFonts w:ascii="Calibri" w:hAnsi="Calibri"/>
                <w:i/>
              </w:rPr>
              <w:t xml:space="preserve"> </w:t>
            </w:r>
            <w:proofErr w:type="spellStart"/>
            <w:r w:rsidRPr="000A3E55">
              <w:rPr>
                <w:rFonts w:ascii="Calibri" w:hAnsi="Calibri"/>
                <w:i/>
              </w:rPr>
              <w:t>BGfo</w:t>
            </w:r>
            <w:proofErr w:type="spellEnd"/>
            <w:r w:rsidRPr="000A3E55">
              <w:rPr>
                <w:rFonts w:ascii="Calibri" w:hAnsi="Calibri"/>
                <w:i/>
              </w:rPr>
              <w:t xml:space="preserve"> in conjunction with Sections 7:1</w:t>
            </w:r>
            <w:r w:rsidR="00C71A66">
              <w:rPr>
                <w:rFonts w:ascii="Calibri" w:hAnsi="Calibri"/>
                <w:i/>
              </w:rPr>
              <w:t>5</w:t>
            </w:r>
            <w:r w:rsidRPr="000A3E55">
              <w:rPr>
                <w:rFonts w:ascii="Calibri" w:hAnsi="Calibri"/>
                <w:i/>
              </w:rPr>
              <w:t xml:space="preserve">-7:20 </w:t>
            </w:r>
            <w:proofErr w:type="spellStart"/>
            <w:r w:rsidRPr="000A3E55">
              <w:rPr>
                <w:rFonts w:ascii="Calibri" w:hAnsi="Calibri"/>
                <w:i/>
              </w:rPr>
              <w:t>NRGfo</w:t>
            </w:r>
            <w:proofErr w:type="spellEnd"/>
            <w:r w:rsidR="00A469AC">
              <w:rPr>
                <w:rStyle w:val="FootnoteReference"/>
                <w:rFonts w:ascii="Calibri" w:hAnsi="Calibri"/>
                <w:i/>
              </w:rPr>
              <w:footnoteReference w:id="9"/>
            </w:r>
            <w:r w:rsidRPr="000A3E55">
              <w:rPr>
                <w:rFonts w:ascii="Calibri" w:hAnsi="Calibri"/>
                <w:i/>
              </w:rPr>
              <w:t>)</w:t>
            </w:r>
          </w:p>
          <w:p w14:paraId="2894E802" w14:textId="77777777" w:rsidR="00C24940" w:rsidRPr="000A3E55" w:rsidRDefault="00C24940" w:rsidP="00C24940">
            <w:pPr>
              <w:spacing w:line="240" w:lineRule="auto"/>
              <w:rPr>
                <w:rFonts w:ascii="Calibri" w:hAnsi="Calibri"/>
                <w:i/>
              </w:rPr>
            </w:pPr>
          </w:p>
        </w:tc>
        <w:tc>
          <w:tcPr>
            <w:tcW w:w="144" w:type="dxa"/>
            <w:tcBorders>
              <w:top w:val="single" w:sz="4" w:space="0" w:color="auto"/>
              <w:left w:val="nil"/>
              <w:bottom w:val="single" w:sz="4" w:space="0" w:color="auto"/>
              <w:right w:val="nil"/>
            </w:tcBorders>
            <w:shd w:val="pct12" w:color="auto" w:fill="FFFFFF"/>
          </w:tcPr>
          <w:p w14:paraId="73955A42" w14:textId="77777777" w:rsidR="00C24940" w:rsidRPr="000A3E55" w:rsidRDefault="00C24940" w:rsidP="00C24940">
            <w:pPr>
              <w:spacing w:after="0" w:line="240" w:lineRule="auto"/>
              <w:rPr>
                <w:rFonts w:ascii="Calibri" w:eastAsia="Times New Roman" w:hAnsi="Calibri" w:cs="Arial"/>
                <w:color w:val="330066"/>
              </w:rPr>
            </w:pPr>
          </w:p>
        </w:tc>
        <w:tc>
          <w:tcPr>
            <w:tcW w:w="4733" w:type="dxa"/>
            <w:tcBorders>
              <w:top w:val="single" w:sz="4" w:space="0" w:color="auto"/>
              <w:left w:val="nil"/>
              <w:bottom w:val="single" w:sz="4" w:space="0" w:color="auto"/>
              <w:right w:val="nil"/>
            </w:tcBorders>
          </w:tcPr>
          <w:p w14:paraId="43B48565" w14:textId="77777777" w:rsidR="00C24940" w:rsidRPr="000A3E55" w:rsidRDefault="00C24940" w:rsidP="00C24940">
            <w:pPr>
              <w:tabs>
                <w:tab w:val="left" w:pos="426"/>
              </w:tabs>
              <w:spacing w:after="0" w:line="240" w:lineRule="auto"/>
              <w:outlineLvl w:val="0"/>
              <w:rPr>
                <w:rFonts w:ascii="Calibri" w:eastAsia="Times New Roman" w:hAnsi="Calibri" w:cs="Arial"/>
                <w:b/>
                <w:color w:val="330066"/>
              </w:rPr>
            </w:pPr>
          </w:p>
        </w:tc>
      </w:tr>
      <w:tr w:rsidR="00C24940" w:rsidRPr="000A3E55" w14:paraId="4D37D387" w14:textId="77777777" w:rsidTr="0049458B">
        <w:tc>
          <w:tcPr>
            <w:tcW w:w="4536" w:type="dxa"/>
            <w:tcBorders>
              <w:top w:val="single" w:sz="4" w:space="0" w:color="auto"/>
              <w:left w:val="nil"/>
              <w:bottom w:val="single" w:sz="4" w:space="0" w:color="auto"/>
              <w:right w:val="nil"/>
            </w:tcBorders>
            <w:shd w:val="pct5" w:color="auto" w:fill="FFFFFF"/>
          </w:tcPr>
          <w:p w14:paraId="4636A55A" w14:textId="77777777" w:rsidR="00C24940" w:rsidRPr="000A3E55" w:rsidRDefault="00D8664F" w:rsidP="00C24940">
            <w:pPr>
              <w:spacing w:line="240" w:lineRule="auto"/>
              <w:rPr>
                <w:rFonts w:ascii="Calibri" w:hAnsi="Calibri"/>
                <w:i/>
              </w:rPr>
            </w:pPr>
            <w:r>
              <w:rPr>
                <w:rFonts w:ascii="Calibri" w:hAnsi="Calibri"/>
                <w:i/>
              </w:rPr>
              <w:t>Product governance (see a</w:t>
            </w:r>
            <w:r w:rsidR="00C24940" w:rsidRPr="000A3E55">
              <w:rPr>
                <w:rFonts w:ascii="Calibri" w:hAnsi="Calibri"/>
                <w:i/>
              </w:rPr>
              <w:t xml:space="preserve">rticles </w:t>
            </w:r>
            <w:r>
              <w:rPr>
                <w:rFonts w:ascii="Calibri" w:hAnsi="Calibri"/>
                <w:i/>
              </w:rPr>
              <w:t xml:space="preserve">32a-c </w:t>
            </w:r>
            <w:proofErr w:type="spellStart"/>
            <w:r>
              <w:rPr>
                <w:rFonts w:ascii="Calibri" w:hAnsi="Calibri"/>
                <w:i/>
              </w:rPr>
              <w:t>BGfo</w:t>
            </w:r>
            <w:proofErr w:type="spellEnd"/>
            <w:r>
              <w:rPr>
                <w:rFonts w:ascii="Calibri" w:hAnsi="Calibri"/>
                <w:i/>
              </w:rPr>
              <w:t xml:space="preserve"> and </w:t>
            </w:r>
            <w:r w:rsidR="00C24940" w:rsidRPr="000A3E55">
              <w:rPr>
                <w:rFonts w:ascii="Calibri" w:hAnsi="Calibri"/>
                <w:i/>
              </w:rPr>
              <w:t xml:space="preserve">9-10 </w:t>
            </w:r>
            <w:r w:rsidR="00C24940">
              <w:rPr>
                <w:rFonts w:ascii="Calibri" w:hAnsi="Calibri"/>
                <w:i/>
              </w:rPr>
              <w:t>DR</w:t>
            </w:r>
            <w:r w:rsidR="00C24940" w:rsidRPr="000A3E55">
              <w:rPr>
                <w:rFonts w:ascii="Calibri" w:hAnsi="Calibri"/>
                <w:i/>
              </w:rPr>
              <w:t xml:space="preserve"> 2017/593)</w:t>
            </w:r>
          </w:p>
          <w:p w14:paraId="3972571F" w14:textId="77777777" w:rsidR="00C24940" w:rsidRPr="000A3E55" w:rsidRDefault="00C24940" w:rsidP="00C24940">
            <w:pPr>
              <w:spacing w:line="240" w:lineRule="auto"/>
              <w:rPr>
                <w:rFonts w:ascii="Calibri" w:hAnsi="Calibri"/>
                <w:i/>
              </w:rPr>
            </w:pPr>
          </w:p>
        </w:tc>
        <w:tc>
          <w:tcPr>
            <w:tcW w:w="144" w:type="dxa"/>
            <w:tcBorders>
              <w:top w:val="single" w:sz="4" w:space="0" w:color="auto"/>
              <w:left w:val="nil"/>
              <w:bottom w:val="single" w:sz="4" w:space="0" w:color="auto"/>
              <w:right w:val="nil"/>
            </w:tcBorders>
            <w:shd w:val="pct12" w:color="auto" w:fill="FFFFFF"/>
          </w:tcPr>
          <w:p w14:paraId="7285098A" w14:textId="77777777" w:rsidR="00C24940" w:rsidRPr="000A3E55" w:rsidRDefault="00C24940" w:rsidP="00C24940">
            <w:pPr>
              <w:spacing w:after="0" w:line="240" w:lineRule="auto"/>
              <w:rPr>
                <w:rFonts w:ascii="Calibri" w:eastAsia="Times New Roman" w:hAnsi="Calibri" w:cs="Arial"/>
                <w:color w:val="330066"/>
              </w:rPr>
            </w:pPr>
          </w:p>
        </w:tc>
        <w:tc>
          <w:tcPr>
            <w:tcW w:w="4733" w:type="dxa"/>
            <w:tcBorders>
              <w:top w:val="single" w:sz="4" w:space="0" w:color="auto"/>
              <w:left w:val="nil"/>
              <w:bottom w:val="single" w:sz="4" w:space="0" w:color="auto"/>
              <w:right w:val="nil"/>
            </w:tcBorders>
          </w:tcPr>
          <w:p w14:paraId="74CBE5B2" w14:textId="77777777" w:rsidR="00C24940" w:rsidRPr="000A3E55" w:rsidRDefault="00C24940" w:rsidP="00C24940">
            <w:pPr>
              <w:tabs>
                <w:tab w:val="left" w:pos="426"/>
              </w:tabs>
              <w:spacing w:after="0" w:line="240" w:lineRule="auto"/>
              <w:outlineLvl w:val="0"/>
              <w:rPr>
                <w:rFonts w:ascii="Calibri" w:eastAsia="Times New Roman" w:hAnsi="Calibri" w:cs="Arial"/>
                <w:b/>
                <w:color w:val="330066"/>
              </w:rPr>
            </w:pPr>
          </w:p>
        </w:tc>
      </w:tr>
      <w:tr w:rsidR="00C24940" w:rsidRPr="000A3E55" w14:paraId="0B6829D0" w14:textId="77777777" w:rsidTr="0049458B">
        <w:tc>
          <w:tcPr>
            <w:tcW w:w="4536" w:type="dxa"/>
            <w:tcBorders>
              <w:top w:val="single" w:sz="4" w:space="0" w:color="auto"/>
              <w:left w:val="nil"/>
              <w:bottom w:val="single" w:sz="4" w:space="0" w:color="auto"/>
              <w:right w:val="nil"/>
            </w:tcBorders>
            <w:shd w:val="pct5" w:color="auto" w:fill="FFFFFF"/>
          </w:tcPr>
          <w:p w14:paraId="71BAB13D" w14:textId="77777777" w:rsidR="00C24940" w:rsidRPr="000A3E55" w:rsidRDefault="00D8664F" w:rsidP="00C24940">
            <w:pPr>
              <w:spacing w:line="240" w:lineRule="auto"/>
              <w:rPr>
                <w:rFonts w:ascii="Calibri" w:hAnsi="Calibri"/>
                <w:i/>
              </w:rPr>
            </w:pPr>
            <w:r>
              <w:rPr>
                <w:rFonts w:ascii="Calibri" w:hAnsi="Calibri"/>
                <w:i/>
              </w:rPr>
              <w:t>Inducements (see a</w:t>
            </w:r>
            <w:r w:rsidR="00C24940" w:rsidRPr="000A3E55">
              <w:rPr>
                <w:rFonts w:ascii="Calibri" w:hAnsi="Calibri"/>
                <w:i/>
              </w:rPr>
              <w:t xml:space="preserve">rticles 11-13 </w:t>
            </w:r>
            <w:r w:rsidR="00C24940">
              <w:rPr>
                <w:rFonts w:ascii="Calibri" w:hAnsi="Calibri"/>
                <w:i/>
              </w:rPr>
              <w:t>DR</w:t>
            </w:r>
            <w:r w:rsidR="00C24940" w:rsidRPr="000A3E55">
              <w:rPr>
                <w:rFonts w:ascii="Calibri" w:hAnsi="Calibri"/>
                <w:i/>
              </w:rPr>
              <w:t xml:space="preserve"> 2017/593)</w:t>
            </w:r>
          </w:p>
          <w:p w14:paraId="222E7124" w14:textId="77777777" w:rsidR="00C24940" w:rsidRPr="000A3E55" w:rsidRDefault="00C24940" w:rsidP="00C24940">
            <w:pPr>
              <w:spacing w:line="240" w:lineRule="auto"/>
              <w:rPr>
                <w:rFonts w:ascii="Calibri" w:hAnsi="Calibri"/>
                <w:i/>
              </w:rPr>
            </w:pPr>
          </w:p>
        </w:tc>
        <w:tc>
          <w:tcPr>
            <w:tcW w:w="144" w:type="dxa"/>
            <w:tcBorders>
              <w:top w:val="single" w:sz="4" w:space="0" w:color="auto"/>
              <w:left w:val="nil"/>
              <w:bottom w:val="single" w:sz="4" w:space="0" w:color="auto"/>
              <w:right w:val="nil"/>
            </w:tcBorders>
            <w:shd w:val="pct12" w:color="auto" w:fill="FFFFFF"/>
          </w:tcPr>
          <w:p w14:paraId="6AB72ED8" w14:textId="77777777" w:rsidR="00C24940" w:rsidRPr="000A3E55" w:rsidRDefault="00C24940" w:rsidP="00C24940">
            <w:pPr>
              <w:spacing w:after="0" w:line="240" w:lineRule="auto"/>
              <w:rPr>
                <w:rFonts w:ascii="Calibri" w:eastAsia="Times New Roman" w:hAnsi="Calibri" w:cs="Arial"/>
                <w:color w:val="330066"/>
              </w:rPr>
            </w:pPr>
          </w:p>
        </w:tc>
        <w:tc>
          <w:tcPr>
            <w:tcW w:w="4733" w:type="dxa"/>
            <w:tcBorders>
              <w:top w:val="single" w:sz="4" w:space="0" w:color="auto"/>
              <w:left w:val="nil"/>
              <w:bottom w:val="single" w:sz="4" w:space="0" w:color="auto"/>
              <w:right w:val="nil"/>
            </w:tcBorders>
          </w:tcPr>
          <w:p w14:paraId="108CFA39" w14:textId="77777777" w:rsidR="00C24940" w:rsidRPr="000A3E55" w:rsidRDefault="00C24940" w:rsidP="00C24940">
            <w:pPr>
              <w:tabs>
                <w:tab w:val="left" w:pos="426"/>
              </w:tabs>
              <w:spacing w:after="0" w:line="240" w:lineRule="auto"/>
              <w:outlineLvl w:val="0"/>
              <w:rPr>
                <w:rFonts w:ascii="Calibri" w:eastAsia="Times New Roman" w:hAnsi="Calibri" w:cs="Arial"/>
                <w:b/>
                <w:color w:val="330066"/>
              </w:rPr>
            </w:pPr>
          </w:p>
        </w:tc>
      </w:tr>
      <w:tr w:rsidR="00D8664F" w:rsidRPr="000A3E55" w14:paraId="002A9644" w14:textId="77777777" w:rsidTr="0049458B">
        <w:tc>
          <w:tcPr>
            <w:tcW w:w="4536" w:type="dxa"/>
            <w:tcBorders>
              <w:top w:val="single" w:sz="4" w:space="0" w:color="auto"/>
              <w:left w:val="nil"/>
              <w:bottom w:val="single" w:sz="4" w:space="0" w:color="auto"/>
              <w:right w:val="nil"/>
            </w:tcBorders>
            <w:shd w:val="pct5" w:color="auto" w:fill="FFFFFF"/>
          </w:tcPr>
          <w:p w14:paraId="3618C084" w14:textId="77777777" w:rsidR="00D8664F" w:rsidRDefault="00D8664F" w:rsidP="00D8664F">
            <w:pPr>
              <w:spacing w:line="240" w:lineRule="auto"/>
              <w:rPr>
                <w:rFonts w:ascii="Calibri" w:hAnsi="Calibri"/>
                <w:i/>
              </w:rPr>
            </w:pPr>
            <w:r>
              <w:rPr>
                <w:rFonts w:ascii="Calibri" w:hAnsi="Calibri"/>
                <w:i/>
              </w:rPr>
              <w:t>When providing investment advice (see a</w:t>
            </w:r>
            <w:r w:rsidRPr="000A3E55">
              <w:rPr>
                <w:rFonts w:ascii="Calibri" w:hAnsi="Calibri"/>
                <w:i/>
              </w:rPr>
              <w:t xml:space="preserve">rticles 52-53 </w:t>
            </w:r>
            <w:r>
              <w:rPr>
                <w:rFonts w:ascii="Calibri" w:hAnsi="Calibri"/>
                <w:i/>
              </w:rPr>
              <w:t>DR</w:t>
            </w:r>
            <w:r w:rsidRPr="000A3E55">
              <w:rPr>
                <w:rFonts w:ascii="Calibri" w:hAnsi="Calibri"/>
                <w:i/>
              </w:rPr>
              <w:t xml:space="preserve"> 2017/565)</w:t>
            </w:r>
          </w:p>
          <w:p w14:paraId="6E9E6B61" w14:textId="77777777" w:rsidR="00D8664F" w:rsidRPr="000A3E55" w:rsidRDefault="00D8664F" w:rsidP="00D8664F">
            <w:pPr>
              <w:spacing w:line="240" w:lineRule="auto"/>
              <w:rPr>
                <w:rFonts w:ascii="Calibri" w:hAnsi="Calibri"/>
                <w:i/>
              </w:rPr>
            </w:pPr>
          </w:p>
        </w:tc>
        <w:tc>
          <w:tcPr>
            <w:tcW w:w="144" w:type="dxa"/>
            <w:tcBorders>
              <w:top w:val="single" w:sz="4" w:space="0" w:color="auto"/>
              <w:left w:val="nil"/>
              <w:bottom w:val="single" w:sz="4" w:space="0" w:color="auto"/>
              <w:right w:val="nil"/>
            </w:tcBorders>
            <w:shd w:val="pct12" w:color="auto" w:fill="FFFFFF"/>
          </w:tcPr>
          <w:p w14:paraId="4E8A69DD" w14:textId="77777777" w:rsidR="00D8664F" w:rsidRPr="000A3E55" w:rsidRDefault="00D8664F" w:rsidP="00D8664F">
            <w:pPr>
              <w:spacing w:after="0" w:line="240" w:lineRule="auto"/>
              <w:rPr>
                <w:rFonts w:ascii="Calibri" w:eastAsia="Times New Roman" w:hAnsi="Calibri" w:cs="Arial"/>
                <w:color w:val="330066"/>
              </w:rPr>
            </w:pPr>
          </w:p>
        </w:tc>
        <w:tc>
          <w:tcPr>
            <w:tcW w:w="4733" w:type="dxa"/>
            <w:tcBorders>
              <w:top w:val="single" w:sz="4" w:space="0" w:color="auto"/>
              <w:left w:val="nil"/>
              <w:bottom w:val="single" w:sz="4" w:space="0" w:color="auto"/>
              <w:right w:val="nil"/>
            </w:tcBorders>
          </w:tcPr>
          <w:p w14:paraId="2F0C266B" w14:textId="77777777" w:rsidR="00D8664F" w:rsidRPr="000A3E55" w:rsidRDefault="00D8664F" w:rsidP="00D8664F">
            <w:pPr>
              <w:tabs>
                <w:tab w:val="left" w:pos="426"/>
              </w:tabs>
              <w:spacing w:after="0" w:line="240" w:lineRule="auto"/>
              <w:outlineLvl w:val="0"/>
              <w:rPr>
                <w:rFonts w:ascii="Calibri" w:eastAsia="Times New Roman" w:hAnsi="Calibri" w:cs="Arial"/>
                <w:b/>
                <w:color w:val="330066"/>
              </w:rPr>
            </w:pPr>
          </w:p>
        </w:tc>
      </w:tr>
      <w:tr w:rsidR="00D8664F" w:rsidRPr="000A3E55" w14:paraId="10285E89" w14:textId="77777777" w:rsidTr="0049458B">
        <w:tc>
          <w:tcPr>
            <w:tcW w:w="4536" w:type="dxa"/>
            <w:tcBorders>
              <w:top w:val="single" w:sz="4" w:space="0" w:color="auto"/>
              <w:left w:val="nil"/>
              <w:bottom w:val="single" w:sz="4" w:space="0" w:color="auto"/>
              <w:right w:val="nil"/>
            </w:tcBorders>
            <w:shd w:val="pct5" w:color="auto" w:fill="FFFFFF"/>
          </w:tcPr>
          <w:p w14:paraId="7CD35570" w14:textId="77777777" w:rsidR="00D8664F" w:rsidRDefault="00D8664F" w:rsidP="00D8664F">
            <w:pPr>
              <w:spacing w:line="240" w:lineRule="auto"/>
              <w:rPr>
                <w:rFonts w:ascii="Calibri" w:hAnsi="Calibri"/>
                <w:i/>
              </w:rPr>
            </w:pPr>
            <w:r>
              <w:rPr>
                <w:rFonts w:ascii="Calibri" w:hAnsi="Calibri"/>
                <w:i/>
              </w:rPr>
              <w:t>When</w:t>
            </w:r>
            <w:r w:rsidRPr="000A3E55">
              <w:rPr>
                <w:rFonts w:ascii="Calibri" w:hAnsi="Calibri"/>
                <w:i/>
              </w:rPr>
              <w:t xml:space="preserve"> issuing</w:t>
            </w:r>
            <w:r>
              <w:rPr>
                <w:rFonts w:ascii="Calibri" w:hAnsi="Calibri"/>
                <w:i/>
              </w:rPr>
              <w:t xml:space="preserve"> or placements of</w:t>
            </w:r>
            <w:r w:rsidRPr="000A3E55">
              <w:rPr>
                <w:rFonts w:ascii="Calibri" w:hAnsi="Calibri"/>
                <w:i/>
              </w:rPr>
              <w:t xml:space="preserve"> financial</w:t>
            </w:r>
            <w:r>
              <w:rPr>
                <w:rFonts w:ascii="Calibri" w:hAnsi="Calibri"/>
                <w:i/>
              </w:rPr>
              <w:t xml:space="preserve"> instruments (see a</w:t>
            </w:r>
            <w:r w:rsidRPr="000A3E55">
              <w:rPr>
                <w:rFonts w:ascii="Calibri" w:hAnsi="Calibri"/>
                <w:i/>
              </w:rPr>
              <w:t xml:space="preserve">rticles 38-43 </w:t>
            </w:r>
            <w:r>
              <w:rPr>
                <w:rFonts w:ascii="Calibri" w:hAnsi="Calibri"/>
                <w:i/>
              </w:rPr>
              <w:t>DR</w:t>
            </w:r>
            <w:r w:rsidRPr="000A3E55">
              <w:rPr>
                <w:rFonts w:ascii="Calibri" w:hAnsi="Calibri"/>
                <w:i/>
              </w:rPr>
              <w:t xml:space="preserve"> 2017/565)</w:t>
            </w:r>
          </w:p>
          <w:p w14:paraId="5281A65E" w14:textId="77777777" w:rsidR="00D8664F" w:rsidRPr="000A3E55" w:rsidRDefault="00D8664F" w:rsidP="00D8664F">
            <w:pPr>
              <w:spacing w:line="240" w:lineRule="auto"/>
              <w:rPr>
                <w:rFonts w:ascii="Calibri" w:hAnsi="Calibri"/>
                <w:i/>
              </w:rPr>
            </w:pPr>
          </w:p>
        </w:tc>
        <w:tc>
          <w:tcPr>
            <w:tcW w:w="144" w:type="dxa"/>
            <w:tcBorders>
              <w:top w:val="single" w:sz="4" w:space="0" w:color="auto"/>
              <w:left w:val="nil"/>
              <w:bottom w:val="single" w:sz="4" w:space="0" w:color="auto"/>
              <w:right w:val="nil"/>
            </w:tcBorders>
            <w:shd w:val="pct12" w:color="auto" w:fill="FFFFFF"/>
          </w:tcPr>
          <w:p w14:paraId="52D855F7" w14:textId="77777777" w:rsidR="00D8664F" w:rsidRPr="000A3E55" w:rsidRDefault="00D8664F" w:rsidP="00D8664F">
            <w:pPr>
              <w:spacing w:after="0" w:line="240" w:lineRule="auto"/>
              <w:rPr>
                <w:rFonts w:ascii="Calibri" w:eastAsia="Times New Roman" w:hAnsi="Calibri" w:cs="Arial"/>
                <w:color w:val="330066"/>
              </w:rPr>
            </w:pPr>
          </w:p>
        </w:tc>
        <w:tc>
          <w:tcPr>
            <w:tcW w:w="4733" w:type="dxa"/>
            <w:tcBorders>
              <w:top w:val="single" w:sz="4" w:space="0" w:color="auto"/>
              <w:left w:val="nil"/>
              <w:bottom w:val="single" w:sz="4" w:space="0" w:color="auto"/>
              <w:right w:val="nil"/>
            </w:tcBorders>
          </w:tcPr>
          <w:p w14:paraId="5066BB32" w14:textId="77777777" w:rsidR="00D8664F" w:rsidRPr="000A3E55" w:rsidRDefault="00D8664F" w:rsidP="00D8664F">
            <w:pPr>
              <w:tabs>
                <w:tab w:val="left" w:pos="426"/>
              </w:tabs>
              <w:spacing w:after="0" w:line="240" w:lineRule="auto"/>
              <w:outlineLvl w:val="0"/>
              <w:rPr>
                <w:rFonts w:ascii="Calibri" w:eastAsia="Times New Roman" w:hAnsi="Calibri" w:cs="Arial"/>
                <w:b/>
                <w:color w:val="330066"/>
              </w:rPr>
            </w:pPr>
          </w:p>
        </w:tc>
      </w:tr>
      <w:tr w:rsidR="00D8664F" w:rsidRPr="000A3E55" w14:paraId="1FB2B741" w14:textId="77777777" w:rsidTr="0049458B">
        <w:tc>
          <w:tcPr>
            <w:tcW w:w="4536" w:type="dxa"/>
            <w:tcBorders>
              <w:top w:val="single" w:sz="4" w:space="0" w:color="auto"/>
              <w:left w:val="nil"/>
              <w:bottom w:val="single" w:sz="4" w:space="0" w:color="auto"/>
              <w:right w:val="nil"/>
            </w:tcBorders>
            <w:shd w:val="pct5" w:color="auto" w:fill="FFFFFF"/>
          </w:tcPr>
          <w:p w14:paraId="77BF5A6C" w14:textId="77777777" w:rsidR="00D8664F" w:rsidRPr="000A3E55" w:rsidRDefault="00D8664F" w:rsidP="00D8664F">
            <w:pPr>
              <w:spacing w:line="240" w:lineRule="auto"/>
              <w:rPr>
                <w:rFonts w:ascii="Calibri" w:hAnsi="Calibri"/>
              </w:rPr>
            </w:pPr>
            <w:r w:rsidRPr="000A3E55">
              <w:rPr>
                <w:rFonts w:ascii="Calibri" w:hAnsi="Calibri"/>
              </w:rPr>
              <w:t>Other regulations may also be relevant. Examples:</w:t>
            </w:r>
          </w:p>
        </w:tc>
        <w:tc>
          <w:tcPr>
            <w:tcW w:w="144" w:type="dxa"/>
            <w:tcBorders>
              <w:top w:val="single" w:sz="4" w:space="0" w:color="auto"/>
              <w:left w:val="nil"/>
              <w:bottom w:val="single" w:sz="4" w:space="0" w:color="auto"/>
              <w:right w:val="nil"/>
            </w:tcBorders>
            <w:shd w:val="pct12" w:color="auto" w:fill="FFFFFF"/>
          </w:tcPr>
          <w:p w14:paraId="02FCEB55" w14:textId="77777777" w:rsidR="00D8664F" w:rsidRPr="000A3E55" w:rsidRDefault="00D8664F" w:rsidP="00D8664F">
            <w:pPr>
              <w:spacing w:after="0" w:line="240" w:lineRule="auto"/>
              <w:rPr>
                <w:rFonts w:ascii="Calibri" w:eastAsia="Times New Roman" w:hAnsi="Calibri" w:cs="Arial"/>
                <w:color w:val="330066"/>
              </w:rPr>
            </w:pPr>
          </w:p>
        </w:tc>
        <w:tc>
          <w:tcPr>
            <w:tcW w:w="4733" w:type="dxa"/>
            <w:tcBorders>
              <w:top w:val="single" w:sz="4" w:space="0" w:color="auto"/>
              <w:left w:val="nil"/>
              <w:bottom w:val="single" w:sz="4" w:space="0" w:color="auto"/>
              <w:right w:val="nil"/>
            </w:tcBorders>
          </w:tcPr>
          <w:p w14:paraId="3BDCC65D" w14:textId="77777777" w:rsidR="00D8664F" w:rsidRPr="000A3E55" w:rsidRDefault="00D8664F" w:rsidP="00D8664F">
            <w:pPr>
              <w:tabs>
                <w:tab w:val="left" w:pos="426"/>
              </w:tabs>
              <w:spacing w:after="0" w:line="240" w:lineRule="auto"/>
              <w:outlineLvl w:val="0"/>
              <w:rPr>
                <w:rFonts w:ascii="Calibri" w:eastAsia="Times New Roman" w:hAnsi="Calibri" w:cs="Arial"/>
                <w:b/>
                <w:color w:val="330066"/>
              </w:rPr>
            </w:pPr>
          </w:p>
        </w:tc>
      </w:tr>
      <w:tr w:rsidR="00D8664F" w:rsidRPr="000A3E55" w14:paraId="007D91BB" w14:textId="77777777" w:rsidTr="0049458B">
        <w:trPr>
          <w:trHeight w:val="871"/>
        </w:trPr>
        <w:tc>
          <w:tcPr>
            <w:tcW w:w="4536" w:type="dxa"/>
            <w:tcBorders>
              <w:top w:val="single" w:sz="4" w:space="0" w:color="auto"/>
              <w:left w:val="nil"/>
              <w:bottom w:val="single" w:sz="4" w:space="0" w:color="auto"/>
              <w:right w:val="nil"/>
            </w:tcBorders>
            <w:shd w:val="pct5" w:color="auto" w:fill="FFFFFF"/>
          </w:tcPr>
          <w:p w14:paraId="262CFE73" w14:textId="77777777" w:rsidR="00D8664F" w:rsidRPr="000A3E55" w:rsidRDefault="00D8664F" w:rsidP="00D8664F">
            <w:pPr>
              <w:spacing w:line="240" w:lineRule="auto"/>
              <w:rPr>
                <w:rFonts w:ascii="Calibri" w:hAnsi="Calibri"/>
                <w:i/>
              </w:rPr>
            </w:pPr>
            <w:r w:rsidRPr="000A3E55">
              <w:rPr>
                <w:rFonts w:ascii="Calibri" w:hAnsi="Calibri"/>
                <w:i/>
              </w:rPr>
              <w:t xml:space="preserve">Further requirements in relation to algorithmic </w:t>
            </w:r>
            <w:r>
              <w:rPr>
                <w:rFonts w:ascii="Calibri" w:hAnsi="Calibri"/>
                <w:i/>
              </w:rPr>
              <w:t>trading</w:t>
            </w:r>
            <w:r w:rsidRPr="000A3E55">
              <w:rPr>
                <w:rFonts w:ascii="Calibri" w:hAnsi="Calibri"/>
                <w:i/>
              </w:rPr>
              <w:t xml:space="preserve"> are described (see </w:t>
            </w:r>
            <w:r>
              <w:rPr>
                <w:rFonts w:ascii="Calibri" w:hAnsi="Calibri"/>
                <w:i/>
              </w:rPr>
              <w:t>DR</w:t>
            </w:r>
            <w:r w:rsidRPr="000A3E55">
              <w:rPr>
                <w:rFonts w:ascii="Calibri" w:hAnsi="Calibri"/>
                <w:i/>
              </w:rPr>
              <w:t xml:space="preserve"> 2017/589)</w:t>
            </w:r>
          </w:p>
        </w:tc>
        <w:tc>
          <w:tcPr>
            <w:tcW w:w="144" w:type="dxa"/>
            <w:tcBorders>
              <w:top w:val="single" w:sz="4" w:space="0" w:color="auto"/>
              <w:left w:val="nil"/>
              <w:bottom w:val="single" w:sz="4" w:space="0" w:color="auto"/>
              <w:right w:val="nil"/>
            </w:tcBorders>
            <w:shd w:val="pct12" w:color="auto" w:fill="FFFFFF"/>
          </w:tcPr>
          <w:p w14:paraId="272A4058" w14:textId="77777777" w:rsidR="00D8664F" w:rsidRPr="000A3E55" w:rsidRDefault="00D8664F" w:rsidP="00D8664F">
            <w:pPr>
              <w:spacing w:after="0" w:line="240" w:lineRule="auto"/>
              <w:rPr>
                <w:rFonts w:ascii="Calibri" w:eastAsia="Times New Roman" w:hAnsi="Calibri" w:cs="Arial"/>
                <w:color w:val="330066"/>
              </w:rPr>
            </w:pPr>
          </w:p>
        </w:tc>
        <w:tc>
          <w:tcPr>
            <w:tcW w:w="4733" w:type="dxa"/>
            <w:tcBorders>
              <w:top w:val="single" w:sz="4" w:space="0" w:color="auto"/>
              <w:left w:val="nil"/>
              <w:bottom w:val="single" w:sz="4" w:space="0" w:color="auto"/>
              <w:right w:val="nil"/>
            </w:tcBorders>
          </w:tcPr>
          <w:p w14:paraId="1AF33D26" w14:textId="77777777" w:rsidR="00D8664F" w:rsidRPr="000A3E55" w:rsidRDefault="00D8664F" w:rsidP="00D8664F">
            <w:pPr>
              <w:tabs>
                <w:tab w:val="left" w:pos="426"/>
              </w:tabs>
              <w:spacing w:after="0" w:line="240" w:lineRule="auto"/>
              <w:outlineLvl w:val="0"/>
              <w:rPr>
                <w:rFonts w:ascii="Calibri" w:eastAsia="Times New Roman" w:hAnsi="Calibri" w:cs="Arial"/>
                <w:b/>
                <w:color w:val="330066"/>
              </w:rPr>
            </w:pPr>
          </w:p>
        </w:tc>
      </w:tr>
      <w:tr w:rsidR="00D8664F" w:rsidRPr="000A3E55" w14:paraId="6AB8AE68" w14:textId="77777777" w:rsidTr="0049458B">
        <w:tc>
          <w:tcPr>
            <w:tcW w:w="4536" w:type="dxa"/>
            <w:tcBorders>
              <w:top w:val="single" w:sz="4" w:space="0" w:color="auto"/>
              <w:left w:val="nil"/>
              <w:bottom w:val="single" w:sz="4" w:space="0" w:color="auto"/>
              <w:right w:val="nil"/>
            </w:tcBorders>
            <w:shd w:val="pct5" w:color="auto" w:fill="FFFFFF"/>
          </w:tcPr>
          <w:p w14:paraId="6C4C6BE0" w14:textId="77777777" w:rsidR="00D8664F" w:rsidRPr="000A3E55" w:rsidRDefault="00D8664F" w:rsidP="00D8664F">
            <w:pPr>
              <w:spacing w:line="240" w:lineRule="auto"/>
              <w:rPr>
                <w:rFonts w:ascii="Calibri" w:hAnsi="Calibri"/>
                <w:i/>
              </w:rPr>
            </w:pPr>
            <w:r w:rsidRPr="000A3E55">
              <w:rPr>
                <w:rFonts w:ascii="Calibri" w:hAnsi="Calibri"/>
                <w:i/>
              </w:rPr>
              <w:t xml:space="preserve">Further requirements in relation to market making are described (see </w:t>
            </w:r>
            <w:r>
              <w:rPr>
                <w:rFonts w:ascii="Calibri" w:hAnsi="Calibri"/>
                <w:i/>
              </w:rPr>
              <w:t>DR</w:t>
            </w:r>
            <w:r w:rsidRPr="000A3E55">
              <w:rPr>
                <w:rFonts w:ascii="Calibri" w:hAnsi="Calibri"/>
                <w:i/>
              </w:rPr>
              <w:t xml:space="preserve"> 2017/578)</w:t>
            </w:r>
          </w:p>
        </w:tc>
        <w:tc>
          <w:tcPr>
            <w:tcW w:w="144" w:type="dxa"/>
            <w:tcBorders>
              <w:top w:val="single" w:sz="4" w:space="0" w:color="auto"/>
              <w:left w:val="nil"/>
              <w:bottom w:val="single" w:sz="4" w:space="0" w:color="auto"/>
              <w:right w:val="nil"/>
            </w:tcBorders>
            <w:shd w:val="pct12" w:color="auto" w:fill="FFFFFF"/>
          </w:tcPr>
          <w:p w14:paraId="4AD37260" w14:textId="77777777" w:rsidR="00D8664F" w:rsidRPr="000A3E55" w:rsidRDefault="00D8664F" w:rsidP="00D8664F">
            <w:pPr>
              <w:spacing w:after="0" w:line="240" w:lineRule="auto"/>
              <w:rPr>
                <w:rFonts w:ascii="Calibri" w:eastAsia="Times New Roman" w:hAnsi="Calibri" w:cs="Arial"/>
                <w:color w:val="330066"/>
              </w:rPr>
            </w:pPr>
          </w:p>
        </w:tc>
        <w:tc>
          <w:tcPr>
            <w:tcW w:w="4733" w:type="dxa"/>
            <w:tcBorders>
              <w:top w:val="single" w:sz="4" w:space="0" w:color="auto"/>
              <w:left w:val="nil"/>
              <w:bottom w:val="single" w:sz="4" w:space="0" w:color="auto"/>
              <w:right w:val="nil"/>
            </w:tcBorders>
          </w:tcPr>
          <w:p w14:paraId="2CD7B7F3" w14:textId="77777777" w:rsidR="00D8664F" w:rsidRPr="000A3E55" w:rsidRDefault="00D8664F" w:rsidP="00D8664F">
            <w:pPr>
              <w:tabs>
                <w:tab w:val="left" w:pos="3146"/>
              </w:tabs>
              <w:spacing w:after="0" w:line="240" w:lineRule="auto"/>
              <w:outlineLvl w:val="0"/>
              <w:rPr>
                <w:rFonts w:ascii="Calibri" w:eastAsia="Times New Roman" w:hAnsi="Calibri" w:cs="Arial"/>
                <w:b/>
                <w:color w:val="330066"/>
              </w:rPr>
            </w:pPr>
            <w:r w:rsidRPr="000A3E55">
              <w:rPr>
                <w:rFonts w:ascii="Calibri" w:hAnsi="Calibri"/>
                <w:b/>
                <w:color w:val="330066"/>
              </w:rPr>
              <w:tab/>
            </w:r>
          </w:p>
        </w:tc>
      </w:tr>
      <w:tr w:rsidR="00D8664F" w:rsidRPr="000A3E55" w14:paraId="12B1CCE8" w14:textId="77777777" w:rsidTr="0049458B">
        <w:tc>
          <w:tcPr>
            <w:tcW w:w="4536" w:type="dxa"/>
            <w:tcBorders>
              <w:top w:val="single" w:sz="4" w:space="0" w:color="auto"/>
              <w:left w:val="nil"/>
              <w:bottom w:val="single" w:sz="4" w:space="0" w:color="auto"/>
              <w:right w:val="nil"/>
            </w:tcBorders>
            <w:shd w:val="pct5" w:color="auto" w:fill="FFFFFF"/>
          </w:tcPr>
          <w:p w14:paraId="4A07B069" w14:textId="77777777" w:rsidR="00D8664F" w:rsidRPr="000A3E55" w:rsidRDefault="00D8664F" w:rsidP="00D8664F">
            <w:pPr>
              <w:spacing w:line="240" w:lineRule="auto"/>
              <w:rPr>
                <w:rFonts w:ascii="Calibri" w:hAnsi="Calibri"/>
                <w:i/>
              </w:rPr>
            </w:pPr>
            <w:r w:rsidRPr="000A3E55">
              <w:rPr>
                <w:rFonts w:ascii="Calibri" w:hAnsi="Calibri"/>
                <w:i/>
              </w:rPr>
              <w:t xml:space="preserve">Further requirements in relation to transparency are described (see </w:t>
            </w:r>
            <w:r>
              <w:rPr>
                <w:rFonts w:ascii="Calibri" w:hAnsi="Calibri"/>
                <w:i/>
              </w:rPr>
              <w:t>DR</w:t>
            </w:r>
            <w:r w:rsidRPr="000A3E55">
              <w:rPr>
                <w:rFonts w:ascii="Calibri" w:hAnsi="Calibri"/>
                <w:i/>
              </w:rPr>
              <w:t xml:space="preserve"> 2017/583 and 587)</w:t>
            </w:r>
          </w:p>
        </w:tc>
        <w:tc>
          <w:tcPr>
            <w:tcW w:w="144" w:type="dxa"/>
            <w:tcBorders>
              <w:top w:val="single" w:sz="4" w:space="0" w:color="auto"/>
              <w:left w:val="nil"/>
              <w:bottom w:val="single" w:sz="4" w:space="0" w:color="auto"/>
              <w:right w:val="nil"/>
            </w:tcBorders>
            <w:shd w:val="pct12" w:color="auto" w:fill="FFFFFF"/>
          </w:tcPr>
          <w:p w14:paraId="240783D0" w14:textId="77777777" w:rsidR="00D8664F" w:rsidRPr="000A3E55" w:rsidRDefault="00D8664F" w:rsidP="00D8664F">
            <w:pPr>
              <w:spacing w:after="0" w:line="240" w:lineRule="auto"/>
              <w:rPr>
                <w:rFonts w:ascii="Calibri" w:eastAsia="Times New Roman" w:hAnsi="Calibri" w:cs="Arial"/>
                <w:color w:val="330066"/>
              </w:rPr>
            </w:pPr>
          </w:p>
        </w:tc>
        <w:tc>
          <w:tcPr>
            <w:tcW w:w="4733" w:type="dxa"/>
            <w:tcBorders>
              <w:top w:val="single" w:sz="4" w:space="0" w:color="auto"/>
              <w:left w:val="nil"/>
              <w:bottom w:val="single" w:sz="4" w:space="0" w:color="auto"/>
              <w:right w:val="nil"/>
            </w:tcBorders>
          </w:tcPr>
          <w:p w14:paraId="4F5889F8" w14:textId="77777777" w:rsidR="00D8664F" w:rsidRPr="000A3E55" w:rsidRDefault="00D8664F" w:rsidP="00D8664F">
            <w:pPr>
              <w:tabs>
                <w:tab w:val="left" w:pos="426"/>
              </w:tabs>
              <w:spacing w:after="0" w:line="240" w:lineRule="auto"/>
              <w:outlineLvl w:val="0"/>
              <w:rPr>
                <w:rFonts w:ascii="Calibri" w:eastAsia="Times New Roman" w:hAnsi="Calibri" w:cs="Arial"/>
                <w:b/>
                <w:color w:val="330066"/>
              </w:rPr>
            </w:pPr>
          </w:p>
        </w:tc>
      </w:tr>
      <w:tr w:rsidR="00D8664F" w:rsidRPr="000A3E55" w14:paraId="47FE1960" w14:textId="77777777" w:rsidTr="0049458B">
        <w:tc>
          <w:tcPr>
            <w:tcW w:w="4536" w:type="dxa"/>
            <w:tcBorders>
              <w:top w:val="single" w:sz="4" w:space="0" w:color="auto"/>
              <w:left w:val="nil"/>
              <w:bottom w:val="single" w:sz="4" w:space="0" w:color="auto"/>
              <w:right w:val="nil"/>
            </w:tcBorders>
            <w:shd w:val="pct5" w:color="auto" w:fill="FFFFFF"/>
          </w:tcPr>
          <w:p w14:paraId="4A0EA3A4" w14:textId="77777777" w:rsidR="00D8664F" w:rsidRPr="000A3E55" w:rsidRDefault="00D8664F" w:rsidP="00D8664F">
            <w:pPr>
              <w:spacing w:line="240" w:lineRule="auto"/>
              <w:rPr>
                <w:rFonts w:ascii="Calibri" w:hAnsi="Calibri"/>
                <w:i/>
              </w:rPr>
            </w:pPr>
            <w:r w:rsidRPr="000A3E55">
              <w:rPr>
                <w:rFonts w:ascii="Calibri" w:hAnsi="Calibri"/>
                <w:i/>
              </w:rPr>
              <w:t>Requirements in relation to</w:t>
            </w:r>
            <w:r>
              <w:rPr>
                <w:rFonts w:ascii="Calibri" w:hAnsi="Calibri"/>
                <w:i/>
              </w:rPr>
              <w:t xml:space="preserve"> the</w:t>
            </w:r>
            <w:r w:rsidRPr="000A3E55">
              <w:rPr>
                <w:rFonts w:ascii="Calibri" w:hAnsi="Calibri"/>
                <w:i/>
              </w:rPr>
              <w:t xml:space="preserve"> trading obligation are described (see </w:t>
            </w:r>
            <w:r>
              <w:rPr>
                <w:rFonts w:ascii="Calibri" w:hAnsi="Calibri"/>
                <w:i/>
              </w:rPr>
              <w:t>DR</w:t>
            </w:r>
            <w:r w:rsidRPr="000A3E55">
              <w:rPr>
                <w:rFonts w:ascii="Calibri" w:hAnsi="Calibri"/>
                <w:i/>
              </w:rPr>
              <w:t xml:space="preserve"> 2016/2020)</w:t>
            </w:r>
          </w:p>
        </w:tc>
        <w:tc>
          <w:tcPr>
            <w:tcW w:w="144" w:type="dxa"/>
            <w:tcBorders>
              <w:top w:val="single" w:sz="4" w:space="0" w:color="auto"/>
              <w:left w:val="nil"/>
              <w:bottom w:val="single" w:sz="4" w:space="0" w:color="auto"/>
              <w:right w:val="nil"/>
            </w:tcBorders>
            <w:shd w:val="pct12" w:color="auto" w:fill="FFFFFF"/>
          </w:tcPr>
          <w:p w14:paraId="2EA8AFBC" w14:textId="77777777" w:rsidR="00D8664F" w:rsidRPr="000A3E55" w:rsidRDefault="00D8664F" w:rsidP="00D8664F">
            <w:pPr>
              <w:spacing w:after="0" w:line="240" w:lineRule="auto"/>
              <w:rPr>
                <w:rFonts w:ascii="Calibri" w:eastAsia="Times New Roman" w:hAnsi="Calibri" w:cs="Arial"/>
                <w:color w:val="330066"/>
              </w:rPr>
            </w:pPr>
          </w:p>
        </w:tc>
        <w:tc>
          <w:tcPr>
            <w:tcW w:w="4733" w:type="dxa"/>
            <w:tcBorders>
              <w:top w:val="single" w:sz="4" w:space="0" w:color="auto"/>
              <w:left w:val="nil"/>
              <w:bottom w:val="single" w:sz="4" w:space="0" w:color="auto"/>
              <w:right w:val="nil"/>
            </w:tcBorders>
          </w:tcPr>
          <w:p w14:paraId="186A7B04" w14:textId="77777777" w:rsidR="00D8664F" w:rsidRPr="000A3E55" w:rsidRDefault="00D8664F" w:rsidP="00D8664F">
            <w:pPr>
              <w:tabs>
                <w:tab w:val="left" w:pos="426"/>
              </w:tabs>
              <w:spacing w:after="0" w:line="240" w:lineRule="auto"/>
              <w:outlineLvl w:val="0"/>
              <w:rPr>
                <w:rFonts w:ascii="Calibri" w:eastAsia="Times New Roman" w:hAnsi="Calibri" w:cs="Arial"/>
                <w:b/>
                <w:color w:val="330066"/>
              </w:rPr>
            </w:pPr>
          </w:p>
        </w:tc>
      </w:tr>
    </w:tbl>
    <w:p w14:paraId="7A20584E" w14:textId="77777777" w:rsidR="00374246" w:rsidRDefault="00374246" w:rsidP="00976070">
      <w:pPr>
        <w:spacing w:after="0" w:line="240" w:lineRule="auto"/>
        <w:rPr>
          <w:rFonts w:ascii="Calibri" w:hAnsi="Calibri"/>
          <w:bCs/>
        </w:rPr>
      </w:pPr>
    </w:p>
    <w:p w14:paraId="33CE825B" w14:textId="7EDE8D97" w:rsidR="00DB41CD" w:rsidRPr="000A3E55" w:rsidRDefault="00DB41CD" w:rsidP="00DB41CD">
      <w:pPr>
        <w:tabs>
          <w:tab w:val="left" w:pos="284"/>
        </w:tabs>
        <w:spacing w:after="0" w:line="240" w:lineRule="auto"/>
        <w:outlineLvl w:val="0"/>
        <w:rPr>
          <w:rFonts w:eastAsia="Times New Roman" w:cs="Arial"/>
          <w:b/>
          <w:bCs/>
          <w:color w:val="330066"/>
        </w:rPr>
      </w:pPr>
    </w:p>
    <w:p w14:paraId="146B9F99" w14:textId="77777777" w:rsidR="009C0624" w:rsidRPr="000A3E55" w:rsidRDefault="009C0624">
      <w:pPr>
        <w:rPr>
          <w:rFonts w:eastAsia="Times New Roman" w:cs="Arial"/>
          <w:b/>
          <w:bCs/>
          <w:color w:val="330066"/>
        </w:rPr>
      </w:pPr>
    </w:p>
    <w:p w14:paraId="7FD66F71" w14:textId="77777777" w:rsidR="00DD5A7A" w:rsidRPr="000A3E55" w:rsidRDefault="00DD5A7A">
      <w:pPr>
        <w:rPr>
          <w:rFonts w:eastAsia="Times New Roman" w:cs="Arial"/>
          <w:b/>
          <w:bCs/>
        </w:rPr>
      </w:pPr>
      <w:r w:rsidRPr="000A3E55">
        <w:br w:type="page"/>
      </w:r>
    </w:p>
    <w:p w14:paraId="607E5176" w14:textId="77777777" w:rsidR="00DB41CD" w:rsidRPr="004F3512" w:rsidRDefault="00DB41CD" w:rsidP="00374246">
      <w:pPr>
        <w:rPr>
          <w:rFonts w:eastAsia="Times New Roman" w:cs="Arial"/>
          <w:bCs/>
          <w:lang w:val="en-US"/>
        </w:rPr>
      </w:pPr>
      <w:r w:rsidRPr="000A3E55">
        <w:rPr>
          <w:b/>
          <w:bCs/>
        </w:rPr>
        <w:lastRenderedPageBreak/>
        <w:t>Checklist</w:t>
      </w:r>
    </w:p>
    <w:p w14:paraId="69080F2E" w14:textId="77777777" w:rsidR="00DB41CD" w:rsidRPr="000A3E55" w:rsidRDefault="00DB41CD" w:rsidP="00DB41CD">
      <w:pPr>
        <w:spacing w:after="0" w:line="240" w:lineRule="auto"/>
        <w:rPr>
          <w:rFonts w:eastAsia="Times New Roman" w:cs="Arial"/>
        </w:rPr>
      </w:pPr>
    </w:p>
    <w:p w14:paraId="753B4674" w14:textId="77777777" w:rsidR="00DB41CD" w:rsidRPr="000A3E55" w:rsidRDefault="00DB41CD" w:rsidP="00DB41CD">
      <w:pPr>
        <w:spacing w:after="0" w:line="240" w:lineRule="auto"/>
        <w:rPr>
          <w:rFonts w:eastAsia="Times New Roman" w:cs="Arial"/>
        </w:rPr>
      </w:pPr>
      <w:r w:rsidRPr="000A3E55">
        <w:t xml:space="preserve">Please tick the appropriate boxes to indicate which documents are enclosed with your </w:t>
      </w:r>
      <w:r w:rsidR="003E2740">
        <w:t>license</w:t>
      </w:r>
      <w:r w:rsidRPr="000A3E55">
        <w:t xml:space="preserve"> application.</w:t>
      </w:r>
      <w:r w:rsidRPr="000A3E55">
        <w:br/>
      </w:r>
    </w:p>
    <w:p w14:paraId="7E0ABBCF" w14:textId="3AEADDBB" w:rsidR="00BE557A" w:rsidRPr="000A3E55" w:rsidRDefault="00BE557A" w:rsidP="00BE557A">
      <w:pPr>
        <w:pStyle w:val="ListParagraph"/>
        <w:numPr>
          <w:ilvl w:val="0"/>
          <w:numId w:val="18"/>
        </w:numPr>
      </w:pPr>
      <w:r w:rsidRPr="000A3E55">
        <w:t>The articles of association or the incorporation documents of the firm</w:t>
      </w:r>
      <w:r w:rsidR="007B3C63">
        <w:t>.</w:t>
      </w:r>
    </w:p>
    <w:p w14:paraId="7CD3F526" w14:textId="07178FD5" w:rsidR="00BE557A" w:rsidRPr="000A3E55" w:rsidRDefault="00BE557A" w:rsidP="00BE557A">
      <w:pPr>
        <w:pStyle w:val="ListParagraph"/>
        <w:numPr>
          <w:ilvl w:val="0"/>
          <w:numId w:val="18"/>
        </w:numPr>
      </w:pPr>
      <w:r w:rsidRPr="000A3E55">
        <w:t>Copy of the firm’s registration at the Chamber of Commerce</w:t>
      </w:r>
      <w:r w:rsidR="007B3C63">
        <w:t>.</w:t>
      </w:r>
    </w:p>
    <w:p w14:paraId="6A70A3DF" w14:textId="0AB24B48" w:rsidR="00682E99" w:rsidRPr="000A3E55" w:rsidRDefault="009F3B71" w:rsidP="00682E99">
      <w:pPr>
        <w:pStyle w:val="ListParagraph"/>
        <w:numPr>
          <w:ilvl w:val="0"/>
          <w:numId w:val="18"/>
        </w:numPr>
      </w:pPr>
      <w:r>
        <w:t>Notification form prospective a</w:t>
      </w:r>
      <w:r w:rsidR="00682E99" w:rsidRPr="000A3E55">
        <w:t>ppointment with related enclosure</w:t>
      </w:r>
      <w:r>
        <w:t>s on each person to be assessed</w:t>
      </w:r>
      <w:r w:rsidR="007B3C63">
        <w:t>.</w:t>
      </w:r>
    </w:p>
    <w:p w14:paraId="7E4B7F98" w14:textId="77777777" w:rsidR="00682E99" w:rsidRPr="000A3E55" w:rsidRDefault="009F3B71" w:rsidP="00682E99">
      <w:pPr>
        <w:pStyle w:val="ListParagraph"/>
        <w:numPr>
          <w:ilvl w:val="0"/>
          <w:numId w:val="18"/>
        </w:numPr>
      </w:pPr>
      <w:r>
        <w:t>Integrity screening</w:t>
      </w:r>
      <w:r w:rsidR="00682E99" w:rsidRPr="000A3E55">
        <w:t xml:space="preserve"> form with related enclosures on each person to be assessed.</w:t>
      </w:r>
    </w:p>
    <w:p w14:paraId="316AE567" w14:textId="023AD94D" w:rsidR="00682E99" w:rsidRPr="000A3E55" w:rsidRDefault="00682E99" w:rsidP="00682E99">
      <w:pPr>
        <w:pStyle w:val="ListParagraph"/>
        <w:numPr>
          <w:ilvl w:val="0"/>
          <w:numId w:val="18"/>
        </w:numPr>
      </w:pPr>
      <w:r w:rsidRPr="000A3E55">
        <w:t>“Oath or solemn affirmation” of the persons in charge of day-to-day policy</w:t>
      </w:r>
      <w:r w:rsidR="007B3C63">
        <w:t>.</w:t>
      </w:r>
    </w:p>
    <w:p w14:paraId="6CEF6B92" w14:textId="77777777" w:rsidR="00682E99" w:rsidRPr="000A3E55" w:rsidRDefault="00682E99" w:rsidP="00682E99">
      <w:pPr>
        <w:pStyle w:val="ListParagraph"/>
        <w:numPr>
          <w:ilvl w:val="0"/>
          <w:numId w:val="18"/>
        </w:numPr>
      </w:pPr>
      <w:r w:rsidRPr="000A3E55">
        <w:t xml:space="preserve">"Suitability matrix" for the investment firm's </w:t>
      </w:r>
      <w:r w:rsidR="00327FCE">
        <w:t>day-</w:t>
      </w:r>
      <w:r w:rsidR="009F3B71">
        <w:t xml:space="preserve">to-day </w:t>
      </w:r>
      <w:r w:rsidRPr="000A3E55">
        <w:t>policy makers.</w:t>
      </w:r>
    </w:p>
    <w:p w14:paraId="37FEA0FF" w14:textId="41FFB819" w:rsidR="00682E99" w:rsidRPr="000A3E55" w:rsidRDefault="00327FCE" w:rsidP="00682E99">
      <w:pPr>
        <w:pStyle w:val="ListParagraph"/>
        <w:numPr>
          <w:ilvl w:val="0"/>
          <w:numId w:val="18"/>
        </w:numPr>
      </w:pPr>
      <w:r>
        <w:t>“</w:t>
      </w:r>
      <w:r w:rsidR="00682E99" w:rsidRPr="000A3E55">
        <w:t>Suitability matrix</w:t>
      </w:r>
      <w:r>
        <w:t>”</w:t>
      </w:r>
      <w:r w:rsidR="00682E99" w:rsidRPr="000A3E55">
        <w:t xml:space="preserve"> for the investment firm's supervisors</w:t>
      </w:r>
      <w:r w:rsidR="007B3C63">
        <w:t>.</w:t>
      </w:r>
    </w:p>
    <w:p w14:paraId="3E733246" w14:textId="7597150C" w:rsidR="00682E99" w:rsidRPr="000A3E55" w:rsidRDefault="00682E99" w:rsidP="00682E99">
      <w:pPr>
        <w:pStyle w:val="ListParagraph"/>
        <w:numPr>
          <w:ilvl w:val="0"/>
          <w:numId w:val="18"/>
        </w:numPr>
      </w:pPr>
      <w:r w:rsidRPr="000A3E55">
        <w:t xml:space="preserve">If already in operation, the financial statements audited by an external auditor for the three years prior to submission of the </w:t>
      </w:r>
      <w:r w:rsidR="003E2740">
        <w:t>license</w:t>
      </w:r>
      <w:r w:rsidRPr="000A3E55">
        <w:t xml:space="preserve"> application</w:t>
      </w:r>
      <w:r w:rsidR="007B3C63">
        <w:t>.</w:t>
      </w:r>
      <w:r w:rsidRPr="000A3E55">
        <w:t xml:space="preserve"> </w:t>
      </w:r>
    </w:p>
    <w:p w14:paraId="645C86E3" w14:textId="37D72C43" w:rsidR="00682E99" w:rsidRPr="000A3E55" w:rsidRDefault="00682E99" w:rsidP="00682E99">
      <w:pPr>
        <w:pStyle w:val="ListParagraph"/>
        <w:numPr>
          <w:ilvl w:val="0"/>
          <w:numId w:val="18"/>
        </w:numPr>
      </w:pPr>
      <w:r w:rsidRPr="000A3E55">
        <w:t>For companies in formation and companies that have been incorporated that are not yet active an opening balance sheet with an</w:t>
      </w:r>
      <w:r w:rsidR="009F3B71">
        <w:t xml:space="preserve"> audited statement</w:t>
      </w:r>
      <w:r w:rsidRPr="000A3E55">
        <w:t xml:space="preserve"> that the prudential requirements are satisfied</w:t>
      </w:r>
      <w:r w:rsidR="007B3C63">
        <w:t>.</w:t>
      </w:r>
      <w:r w:rsidRPr="000A3E55">
        <w:t xml:space="preserve"> </w:t>
      </w:r>
    </w:p>
    <w:p w14:paraId="4CAF9C0A" w14:textId="3CE42C97" w:rsidR="00BE557A" w:rsidRPr="000A3E55" w:rsidRDefault="00BE557A" w:rsidP="00BE557A">
      <w:pPr>
        <w:pStyle w:val="ListParagraph"/>
        <w:numPr>
          <w:ilvl w:val="0"/>
          <w:numId w:val="18"/>
        </w:numPr>
      </w:pPr>
      <w:r w:rsidRPr="000A3E55">
        <w:t>Forecasts concerning the capital position: minimum equity and solvency (3-year horizon) and oth</w:t>
      </w:r>
      <w:r w:rsidR="00005FED">
        <w:t>er documents as referred to in a</w:t>
      </w:r>
      <w:r w:rsidRPr="000A3E55">
        <w:t xml:space="preserve">rticle 5 (a-c) </w:t>
      </w:r>
      <w:r w:rsidR="0049458B">
        <w:t>DR</w:t>
      </w:r>
      <w:r w:rsidRPr="000A3E55">
        <w:t xml:space="preserve"> 2017/1943.</w:t>
      </w:r>
    </w:p>
    <w:p w14:paraId="080202DA" w14:textId="188F61A4" w:rsidR="00BE557A" w:rsidRPr="000A3E55" w:rsidRDefault="00BE557A" w:rsidP="00BE557A">
      <w:pPr>
        <w:pStyle w:val="ListParagraph"/>
        <w:numPr>
          <w:ilvl w:val="0"/>
          <w:numId w:val="18"/>
        </w:numPr>
      </w:pPr>
      <w:r w:rsidRPr="000A3E55">
        <w:t>Details of the capital position and figures and of any loans issued to or by the firm.</w:t>
      </w:r>
    </w:p>
    <w:p w14:paraId="50342928" w14:textId="4FA1A0AD" w:rsidR="00BE557A" w:rsidRPr="000A3E55" w:rsidRDefault="00BE557A" w:rsidP="00BE557A">
      <w:pPr>
        <w:pStyle w:val="ListParagraph"/>
        <w:numPr>
          <w:ilvl w:val="0"/>
          <w:numId w:val="18"/>
        </w:numPr>
      </w:pPr>
      <w:r w:rsidRPr="000A3E55">
        <w:t>Relevant agreements and contracts in relation to the capital raised and in relation to any loans. Details of specific clauses such as subordination clauses.</w:t>
      </w:r>
    </w:p>
    <w:p w14:paraId="7C1BB3B4" w14:textId="1536A097" w:rsidR="00BE557A" w:rsidRPr="000A3E55" w:rsidRDefault="00F41685" w:rsidP="00BE557A">
      <w:pPr>
        <w:pStyle w:val="ListParagraph"/>
        <w:numPr>
          <w:ilvl w:val="0"/>
          <w:numId w:val="18"/>
        </w:numPr>
      </w:pPr>
      <w:r w:rsidRPr="000A3E55">
        <w:t>List of direct and indirect shareholders, with participation amounts, percentages of shareholdings and types of shares held</w:t>
      </w:r>
      <w:r w:rsidR="007B3C63">
        <w:t>.</w:t>
      </w:r>
    </w:p>
    <w:p w14:paraId="4DC9E7DE" w14:textId="77777777" w:rsidR="00F42E99" w:rsidRPr="000A3E55" w:rsidRDefault="00F42E99" w:rsidP="00F42E99">
      <w:pPr>
        <w:pStyle w:val="ListParagraph"/>
        <w:numPr>
          <w:ilvl w:val="0"/>
          <w:numId w:val="18"/>
        </w:numPr>
      </w:pPr>
      <w:r w:rsidRPr="000A3E55">
        <w:t>Organisational diagram for each shareholder forming part of a group. If the group includes firms subject to supervision, please state the relevant supervisory agency.</w:t>
      </w:r>
    </w:p>
    <w:p w14:paraId="55D103A4" w14:textId="77777777" w:rsidR="00922D9E" w:rsidRPr="000A3E55" w:rsidRDefault="00922D9E" w:rsidP="00922D9E">
      <w:pPr>
        <w:pStyle w:val="ListParagraph"/>
        <w:numPr>
          <w:ilvl w:val="0"/>
          <w:numId w:val="18"/>
        </w:numPr>
      </w:pPr>
      <w:r w:rsidRPr="000A3E55">
        <w:t>If the applicant forms part of a group: an organisational chart of the group with the main activities of each firm within the group, the identification of all regulated entities within the group and the names of the relevant regulatory authorities as well as the relationship between the financial entities of the group and the other non-financial entities of the group.</w:t>
      </w:r>
    </w:p>
    <w:p w14:paraId="4E859C2B" w14:textId="77777777" w:rsidR="00682E99" w:rsidRPr="000A3E55" w:rsidRDefault="00971B82" w:rsidP="0014021C">
      <w:pPr>
        <w:pStyle w:val="ListParagraph"/>
        <w:numPr>
          <w:ilvl w:val="0"/>
          <w:numId w:val="18"/>
        </w:numPr>
      </w:pPr>
      <w:r w:rsidRPr="000A3E55">
        <w:t xml:space="preserve">If the </w:t>
      </w:r>
      <w:r w:rsidR="0078423B">
        <w:t xml:space="preserve">direct or indirect share </w:t>
      </w:r>
      <w:r w:rsidRPr="000A3E55">
        <w:t xml:space="preserve">holder </w:t>
      </w:r>
      <w:r w:rsidR="0078423B">
        <w:t xml:space="preserve">(more than 50%) </w:t>
      </w:r>
      <w:r w:rsidRPr="000A3E55">
        <w:t>is not a natural person, the documentation must also concern all members of the management body and the managing director or the sole other person who performs similar tasks.</w:t>
      </w:r>
    </w:p>
    <w:p w14:paraId="76C5058B" w14:textId="77777777" w:rsidR="00BE557A" w:rsidRPr="000A3E55" w:rsidRDefault="00BE557A" w:rsidP="00BE557A">
      <w:pPr>
        <w:pStyle w:val="ListParagraph"/>
        <w:numPr>
          <w:ilvl w:val="0"/>
          <w:numId w:val="18"/>
        </w:numPr>
      </w:pPr>
      <w:r w:rsidRPr="000A3E55">
        <w:t>A bu</w:t>
      </w:r>
      <w:r w:rsidR="00005FED">
        <w:t>siness plan that complies with a</w:t>
      </w:r>
      <w:r w:rsidRPr="000A3E55">
        <w:t xml:space="preserve">rticle 6 (a) </w:t>
      </w:r>
      <w:r w:rsidR="0049458B">
        <w:t>DR</w:t>
      </w:r>
      <w:r w:rsidRPr="000A3E55">
        <w:t xml:space="preserve"> 2017/1943, including financial forecasts for the next three years.</w:t>
      </w:r>
    </w:p>
    <w:p w14:paraId="7F72A339" w14:textId="77777777" w:rsidR="00696866" w:rsidRDefault="004E48EC" w:rsidP="00696866">
      <w:pPr>
        <w:pStyle w:val="ListParagraph"/>
        <w:numPr>
          <w:ilvl w:val="0"/>
          <w:numId w:val="18"/>
        </w:numPr>
      </w:pPr>
      <w:r w:rsidRPr="000A3E55">
        <w:t>A description of the business operations, including the processes and safeguards of these within the firm. It may be the case that a standard does not apply, for instance if the firm is engaged solely in proprietary trading and the standard relates to clients. In this case, the standard can be ignored.</w:t>
      </w:r>
    </w:p>
    <w:p w14:paraId="6BECBA1D" w14:textId="77777777" w:rsidR="0078423B" w:rsidRPr="000A3E55" w:rsidRDefault="0078423B" w:rsidP="00696866">
      <w:pPr>
        <w:pStyle w:val="ListParagraph"/>
        <w:numPr>
          <w:ilvl w:val="0"/>
          <w:numId w:val="18"/>
        </w:numPr>
      </w:pPr>
      <w:r>
        <w:t>Details concerning the national competent authority and a possible contact person/department for the firm within the national competent authority.</w:t>
      </w:r>
    </w:p>
    <w:p w14:paraId="4B20AD22" w14:textId="77777777" w:rsidR="00DB41CD" w:rsidRPr="006258EC" w:rsidRDefault="00DB41CD" w:rsidP="006258EC">
      <w:pPr>
        <w:rPr>
          <w:rFonts w:eastAsia="Times New Roman" w:cs="Arial"/>
        </w:rPr>
      </w:pPr>
      <w:r w:rsidRPr="000A3E55">
        <w:t>The following documents are enclosed in addition to the documents indi</w:t>
      </w:r>
      <w:r w:rsidR="006258EC">
        <w:t>cated above (please list below)</w:t>
      </w:r>
    </w:p>
    <w:p w14:paraId="3F9EC1E6" w14:textId="77777777" w:rsidR="009D5D64" w:rsidRPr="000A3E55" w:rsidRDefault="00265FDF" w:rsidP="00546B66">
      <w:pPr>
        <w:spacing w:after="0" w:line="240" w:lineRule="auto"/>
        <w:rPr>
          <w:rFonts w:eastAsia="Times New Roman" w:cs="Arial"/>
          <w:b/>
          <w:bCs/>
        </w:rPr>
      </w:pPr>
      <w:r>
        <w:rPr>
          <w:b/>
          <w:bCs/>
        </w:rPr>
        <w:lastRenderedPageBreak/>
        <w:t>Explanatory Notes</w:t>
      </w:r>
      <w:r w:rsidR="009D5D64" w:rsidRPr="000A3E55">
        <w:rPr>
          <w:b/>
          <w:bCs/>
        </w:rPr>
        <w:t xml:space="preserve"> </w:t>
      </w:r>
    </w:p>
    <w:p w14:paraId="48817882" w14:textId="77777777" w:rsidR="009D5D64" w:rsidRPr="000A3E55" w:rsidRDefault="009D5D64" w:rsidP="009D5D64">
      <w:pPr>
        <w:spacing w:after="0" w:line="240" w:lineRule="auto"/>
        <w:rPr>
          <w:rFonts w:eastAsia="Times New Roman" w:cs="Arial"/>
        </w:rPr>
      </w:pPr>
    </w:p>
    <w:p w14:paraId="29F8F8E8" w14:textId="77777777" w:rsidR="00DD06FF" w:rsidRDefault="00DD06FF" w:rsidP="00DD06FF">
      <w:pPr>
        <w:rPr>
          <w:b/>
          <w:bCs/>
          <w:lang w:val="en-US"/>
        </w:rPr>
      </w:pPr>
      <w:r>
        <w:rPr>
          <w:b/>
          <w:bCs/>
          <w:lang w:val="en-US"/>
        </w:rPr>
        <w:t>When to use this application form:</w:t>
      </w:r>
    </w:p>
    <w:p w14:paraId="4F71A26A" w14:textId="77777777" w:rsidR="00DD06FF" w:rsidRDefault="00DD06FF" w:rsidP="00DD06FF">
      <w:pPr>
        <w:rPr>
          <w:bCs/>
          <w:lang w:val="en-US"/>
        </w:rPr>
      </w:pPr>
      <w:r w:rsidRPr="002E3065">
        <w:rPr>
          <w:bCs/>
          <w:lang w:val="en-US"/>
        </w:rPr>
        <w:t>When the registered office of an investment firms i</w:t>
      </w:r>
      <w:r>
        <w:rPr>
          <w:bCs/>
          <w:lang w:val="en-US"/>
        </w:rPr>
        <w:t>s not in an</w:t>
      </w:r>
      <w:r w:rsidRPr="002E3065">
        <w:rPr>
          <w:bCs/>
          <w:lang w:val="en-US"/>
        </w:rPr>
        <w:t xml:space="preserve"> EU member state, it is considered to be in a third country. In this case MiFID II generally does not apply</w:t>
      </w:r>
      <w:r>
        <w:rPr>
          <w:bCs/>
          <w:lang w:val="en-US"/>
        </w:rPr>
        <w:t xml:space="preserve"> and the investment firm that provides investment services to Dutch clients or investment activities in the Netherlands needs to apply for a license as a ‘third country investment firm’</w:t>
      </w:r>
      <w:r w:rsidRPr="002E3065">
        <w:rPr>
          <w:bCs/>
          <w:lang w:val="en-US"/>
        </w:rPr>
        <w:t xml:space="preserve">. </w:t>
      </w:r>
    </w:p>
    <w:p w14:paraId="557096F2" w14:textId="77777777" w:rsidR="00DD06FF" w:rsidRPr="002E3065" w:rsidRDefault="00DD06FF" w:rsidP="00DD06FF">
      <w:pPr>
        <w:rPr>
          <w:bCs/>
          <w:lang w:val="en-US"/>
        </w:rPr>
      </w:pPr>
      <w:r>
        <w:rPr>
          <w:bCs/>
          <w:lang w:val="en-US"/>
        </w:rPr>
        <w:t>A general summary of the e</w:t>
      </w:r>
      <w:r w:rsidRPr="002E3065">
        <w:rPr>
          <w:bCs/>
          <w:lang w:val="en-US"/>
        </w:rPr>
        <w:t>xceptions to th</w:t>
      </w:r>
      <w:r>
        <w:rPr>
          <w:bCs/>
          <w:lang w:val="en-US"/>
        </w:rPr>
        <w:t>is rule</w:t>
      </w:r>
      <w:r w:rsidRPr="002E3065">
        <w:rPr>
          <w:bCs/>
          <w:lang w:val="en-US"/>
        </w:rPr>
        <w:t>:</w:t>
      </w:r>
    </w:p>
    <w:p w14:paraId="5B5BA4F8" w14:textId="77777777" w:rsidR="00DD06FF" w:rsidRPr="002E3065" w:rsidRDefault="00DD06FF" w:rsidP="00DD06FF">
      <w:pPr>
        <w:pStyle w:val="ListParagraph"/>
        <w:numPr>
          <w:ilvl w:val="0"/>
          <w:numId w:val="34"/>
        </w:numPr>
        <w:rPr>
          <w:bCs/>
          <w:lang w:val="en-US"/>
        </w:rPr>
      </w:pPr>
      <w:r w:rsidRPr="002E3065">
        <w:rPr>
          <w:bCs/>
          <w:lang w:val="en-US"/>
        </w:rPr>
        <w:t>When the investment firm has a branch office in the Netherlands; In this case you need to apply for a</w:t>
      </w:r>
      <w:r>
        <w:rPr>
          <w:bCs/>
          <w:lang w:val="en-US"/>
        </w:rPr>
        <w:t xml:space="preserve"> ‘regular’ MiFID II</w:t>
      </w:r>
      <w:r w:rsidRPr="002E3065">
        <w:rPr>
          <w:bCs/>
          <w:lang w:val="en-US"/>
        </w:rPr>
        <w:t xml:space="preserve"> license due to article 2:99 </w:t>
      </w:r>
      <w:proofErr w:type="spellStart"/>
      <w:r w:rsidRPr="002E3065">
        <w:rPr>
          <w:bCs/>
          <w:lang w:val="en-US"/>
        </w:rPr>
        <w:t>Wft</w:t>
      </w:r>
      <w:proofErr w:type="spellEnd"/>
      <w:r w:rsidRPr="002E3065">
        <w:rPr>
          <w:bCs/>
          <w:lang w:val="en-US"/>
        </w:rPr>
        <w:t>.</w:t>
      </w:r>
    </w:p>
    <w:p w14:paraId="65D49CE0" w14:textId="77777777" w:rsidR="00DD06FF" w:rsidRPr="00130674" w:rsidRDefault="00DD06FF" w:rsidP="00DD06FF">
      <w:pPr>
        <w:pStyle w:val="ListParagraph"/>
        <w:numPr>
          <w:ilvl w:val="0"/>
          <w:numId w:val="34"/>
        </w:numPr>
        <w:rPr>
          <w:b/>
          <w:bCs/>
          <w:lang w:val="en-US"/>
        </w:rPr>
      </w:pPr>
      <w:r>
        <w:rPr>
          <w:bCs/>
          <w:lang w:val="en-US"/>
        </w:rPr>
        <w:t xml:space="preserve">When article 46 </w:t>
      </w:r>
      <w:proofErr w:type="spellStart"/>
      <w:r>
        <w:rPr>
          <w:bCs/>
          <w:lang w:val="en-US"/>
        </w:rPr>
        <w:t>MiFIR</w:t>
      </w:r>
      <w:proofErr w:type="spellEnd"/>
      <w:r>
        <w:rPr>
          <w:bCs/>
          <w:lang w:val="en-US"/>
        </w:rPr>
        <w:t xml:space="preserve"> applies. This requires at least an equivalence assessment by the European Commission and the investment firm can only perform investment services and activities to eligible counterparties and </w:t>
      </w:r>
      <w:r w:rsidRPr="00130674">
        <w:rPr>
          <w:bCs/>
          <w:lang w:val="en-US"/>
        </w:rPr>
        <w:t>professional clients within the meaning of Section I of Annex II to Directive 2014/65/EU</w:t>
      </w:r>
      <w:r>
        <w:rPr>
          <w:bCs/>
          <w:lang w:val="en-US"/>
        </w:rPr>
        <w:t>. In this case please follow the procedure as given by ESMA.</w:t>
      </w:r>
    </w:p>
    <w:p w14:paraId="289334F6" w14:textId="77777777" w:rsidR="00DD06FF" w:rsidRPr="00DD06FF" w:rsidRDefault="00DD06FF" w:rsidP="00DD06FF">
      <w:pPr>
        <w:pStyle w:val="ListParagraph"/>
        <w:numPr>
          <w:ilvl w:val="0"/>
          <w:numId w:val="34"/>
        </w:numPr>
        <w:rPr>
          <w:b/>
          <w:bCs/>
          <w:lang w:val="en-US"/>
        </w:rPr>
      </w:pPr>
      <w:r>
        <w:rPr>
          <w:bCs/>
          <w:lang w:val="en-US"/>
        </w:rPr>
        <w:t>When the investment firms registered office is in Australia, the United States or Switzerland, and provides investment services or dealing on own account to only eligible counterparties and professional clients within the meaning of Section I of Annex II to Directive 2014/65/EU, an exemption to the prohibition to act without a license is applicable due to article 10 Exemption Regulation</w:t>
      </w:r>
      <w:r>
        <w:rPr>
          <w:rStyle w:val="FootnoteReference"/>
          <w:bCs/>
          <w:lang w:val="en-US"/>
        </w:rPr>
        <w:footnoteReference w:id="10"/>
      </w:r>
      <w:r>
        <w:rPr>
          <w:bCs/>
          <w:lang w:val="en-US"/>
        </w:rPr>
        <w:t>. You need to apply for a registration. Please use the form ‘application investment firm section 10’.</w:t>
      </w:r>
    </w:p>
    <w:p w14:paraId="32639750" w14:textId="77777777" w:rsidR="00DD06FF" w:rsidRPr="001B480D" w:rsidRDefault="00DD06FF" w:rsidP="00DD06FF">
      <w:pPr>
        <w:pStyle w:val="ListParagraph"/>
        <w:numPr>
          <w:ilvl w:val="0"/>
          <w:numId w:val="34"/>
        </w:numPr>
        <w:rPr>
          <w:b/>
          <w:bCs/>
          <w:lang w:val="en-US"/>
        </w:rPr>
      </w:pPr>
      <w:r>
        <w:rPr>
          <w:bCs/>
          <w:lang w:val="en-US"/>
        </w:rPr>
        <w:t>When the investment firm only deals for own account in the Netherlands, it is exempted from the prohibition to act without a license due to article 10a Exemption Regulation. No further action is required.</w:t>
      </w:r>
    </w:p>
    <w:p w14:paraId="31B098A7" w14:textId="77777777" w:rsidR="001B480D" w:rsidRPr="001B480D" w:rsidRDefault="001B480D" w:rsidP="001B480D">
      <w:pPr>
        <w:rPr>
          <w:bCs/>
          <w:lang w:val="en-US"/>
        </w:rPr>
      </w:pPr>
      <w:r w:rsidRPr="001B480D">
        <w:rPr>
          <w:bCs/>
          <w:lang w:val="en-US"/>
        </w:rPr>
        <w:t>For a full review of applicable rules we advise you to read the underlying rules and regulations.</w:t>
      </w:r>
    </w:p>
    <w:p w14:paraId="5EDD082C" w14:textId="77777777" w:rsidR="006A5212" w:rsidRDefault="001B480D" w:rsidP="009D5D64">
      <w:pPr>
        <w:spacing w:after="0" w:line="240" w:lineRule="auto"/>
        <w:rPr>
          <w:b/>
        </w:rPr>
      </w:pPr>
      <w:r>
        <w:rPr>
          <w:b/>
        </w:rPr>
        <w:t xml:space="preserve">What is the difference between a license based on article 2:99 </w:t>
      </w:r>
      <w:proofErr w:type="spellStart"/>
      <w:r>
        <w:rPr>
          <w:b/>
        </w:rPr>
        <w:t>Wft</w:t>
      </w:r>
      <w:proofErr w:type="spellEnd"/>
      <w:r>
        <w:rPr>
          <w:b/>
        </w:rPr>
        <w:t xml:space="preserve">, 2:99a </w:t>
      </w:r>
      <w:proofErr w:type="spellStart"/>
      <w:r>
        <w:rPr>
          <w:b/>
        </w:rPr>
        <w:t>Wft</w:t>
      </w:r>
      <w:proofErr w:type="spellEnd"/>
      <w:r>
        <w:rPr>
          <w:b/>
        </w:rPr>
        <w:t xml:space="preserve"> and 2:99b </w:t>
      </w:r>
      <w:proofErr w:type="spellStart"/>
      <w:r>
        <w:rPr>
          <w:b/>
        </w:rPr>
        <w:t>Wft</w:t>
      </w:r>
      <w:proofErr w:type="spellEnd"/>
      <w:r>
        <w:rPr>
          <w:b/>
        </w:rPr>
        <w:t>?</w:t>
      </w:r>
    </w:p>
    <w:p w14:paraId="608F6117" w14:textId="77777777" w:rsidR="001B480D" w:rsidRDefault="001B480D" w:rsidP="009D5D64">
      <w:pPr>
        <w:spacing w:after="0" w:line="240" w:lineRule="auto"/>
        <w:rPr>
          <w:b/>
        </w:rPr>
      </w:pPr>
    </w:p>
    <w:p w14:paraId="778C98C7" w14:textId="77777777" w:rsidR="006A5212" w:rsidRDefault="001B480D" w:rsidP="009D5D64">
      <w:pPr>
        <w:spacing w:after="0" w:line="240" w:lineRule="auto"/>
      </w:pPr>
      <w:r w:rsidRPr="001B480D">
        <w:t xml:space="preserve">It is prohibited to provide investment services in the Netherlands without a license, as mentioned in article 2:96 </w:t>
      </w:r>
      <w:proofErr w:type="spellStart"/>
      <w:r w:rsidRPr="001B480D">
        <w:t>Wft</w:t>
      </w:r>
      <w:proofErr w:type="spellEnd"/>
      <w:r w:rsidRPr="001B480D">
        <w:t xml:space="preserve">. There are some exceptions and exemptions </w:t>
      </w:r>
      <w:r>
        <w:t>to this prohibition, in which case a license is not required</w:t>
      </w:r>
      <w:r w:rsidRPr="001B480D">
        <w:t xml:space="preserve">. When a license is required, articles 2:99 through 2:99b </w:t>
      </w:r>
      <w:proofErr w:type="spellStart"/>
      <w:r w:rsidRPr="001B480D">
        <w:t>Wft</w:t>
      </w:r>
      <w:proofErr w:type="spellEnd"/>
      <w:r w:rsidRPr="001B480D">
        <w:t xml:space="preserve"> list the requirements that have to be met in order to obtain a license.  </w:t>
      </w:r>
    </w:p>
    <w:p w14:paraId="67CDF9EF" w14:textId="77777777" w:rsidR="001B480D" w:rsidRDefault="001B480D" w:rsidP="009D5D64">
      <w:pPr>
        <w:spacing w:after="0" w:line="240" w:lineRule="auto"/>
      </w:pPr>
    </w:p>
    <w:p w14:paraId="63FA388A" w14:textId="77777777" w:rsidR="001B480D" w:rsidRDefault="001B480D" w:rsidP="001B480D">
      <w:pPr>
        <w:pStyle w:val="ListParagraph"/>
        <w:numPr>
          <w:ilvl w:val="0"/>
          <w:numId w:val="36"/>
        </w:numPr>
        <w:spacing w:after="0" w:line="240" w:lineRule="auto"/>
      </w:pPr>
      <w:r>
        <w:t xml:space="preserve">Article 2:99 </w:t>
      </w:r>
      <w:proofErr w:type="spellStart"/>
      <w:r>
        <w:t>Wft</w:t>
      </w:r>
      <w:proofErr w:type="spellEnd"/>
      <w:r>
        <w:t xml:space="preserve"> lists the requirements for investment firms with registered office in the Netherlands.</w:t>
      </w:r>
    </w:p>
    <w:p w14:paraId="1157E37F" w14:textId="77777777" w:rsidR="001B480D" w:rsidRDefault="001B480D" w:rsidP="001B480D">
      <w:pPr>
        <w:pStyle w:val="ListParagraph"/>
        <w:numPr>
          <w:ilvl w:val="0"/>
          <w:numId w:val="36"/>
        </w:numPr>
        <w:spacing w:after="0" w:line="240" w:lineRule="auto"/>
      </w:pPr>
      <w:r>
        <w:t xml:space="preserve">Article 2:99a </w:t>
      </w:r>
      <w:proofErr w:type="spellStart"/>
      <w:r>
        <w:t>Wft</w:t>
      </w:r>
      <w:proofErr w:type="spellEnd"/>
      <w:r>
        <w:t xml:space="preserve"> lists the requirements for investment firms with registered office in a third country, that aims to have non-professional clients</w:t>
      </w:r>
      <w:r w:rsidR="00455013">
        <w:t xml:space="preserve"> or professional clients within the meaning of Section II of Annex II to Directive 2014/65/EU</w:t>
      </w:r>
      <w:r>
        <w:t>.</w:t>
      </w:r>
      <w:r w:rsidR="00455013">
        <w:t xml:space="preserve"> In this case a branch office is mandatory and it will </w:t>
      </w:r>
      <w:r w:rsidR="00455013">
        <w:lastRenderedPageBreak/>
        <w:t>not be possible to passport your investment services or investment activities throughout the EU member states.</w:t>
      </w:r>
    </w:p>
    <w:p w14:paraId="73BF3F0C" w14:textId="12E07ECF" w:rsidR="001B480D" w:rsidRPr="00455013" w:rsidRDefault="001B480D" w:rsidP="001B480D">
      <w:pPr>
        <w:pStyle w:val="ListParagraph"/>
        <w:numPr>
          <w:ilvl w:val="0"/>
          <w:numId w:val="36"/>
        </w:numPr>
        <w:spacing w:after="0" w:line="240" w:lineRule="auto"/>
      </w:pPr>
      <w:r>
        <w:t xml:space="preserve">Article 2:99b </w:t>
      </w:r>
      <w:proofErr w:type="spellStart"/>
      <w:r>
        <w:t>Wft</w:t>
      </w:r>
      <w:proofErr w:type="spellEnd"/>
      <w:r>
        <w:t xml:space="preserve"> lists the requirements for investment firms with registered office in a third country, that aims to </w:t>
      </w:r>
      <w:r w:rsidR="000D3824">
        <w:t xml:space="preserve">only </w:t>
      </w:r>
      <w:r>
        <w:t xml:space="preserve">have professional clients </w:t>
      </w:r>
      <w:r>
        <w:rPr>
          <w:bCs/>
          <w:lang w:val="en-US"/>
        </w:rPr>
        <w:t>within the meaning of Section I of Annex II to Directive 2014/65/EU</w:t>
      </w:r>
      <w:r w:rsidR="00455013">
        <w:rPr>
          <w:bCs/>
          <w:lang w:val="en-US"/>
        </w:rPr>
        <w:t xml:space="preserve"> or eligible counterparties. </w:t>
      </w:r>
      <w:r w:rsidR="00455013">
        <w:t xml:space="preserve">In this case a </w:t>
      </w:r>
      <w:r w:rsidR="0009344C">
        <w:t>representative</w:t>
      </w:r>
      <w:r w:rsidR="00455013">
        <w:t xml:space="preserve"> is mandatory and it will not be possible to passport your investment services or investment activities throughout the EU member states.</w:t>
      </w:r>
    </w:p>
    <w:p w14:paraId="0AE2AD3E" w14:textId="77777777" w:rsidR="00455013" w:rsidRPr="00455013" w:rsidRDefault="00455013" w:rsidP="00455013">
      <w:pPr>
        <w:pStyle w:val="ListParagraph"/>
        <w:spacing w:after="0" w:line="240" w:lineRule="auto"/>
      </w:pPr>
    </w:p>
    <w:p w14:paraId="351CDCFF" w14:textId="77777777" w:rsidR="00455013" w:rsidRPr="001B480D" w:rsidRDefault="00455013" w:rsidP="00455013">
      <w:pPr>
        <w:spacing w:after="0" w:line="240" w:lineRule="auto"/>
      </w:pPr>
      <w:r>
        <w:t xml:space="preserve">The requirements for these articles largely overlap, however there are some differences. </w:t>
      </w:r>
    </w:p>
    <w:p w14:paraId="2F56E254" w14:textId="77777777" w:rsidR="006A5212" w:rsidRDefault="006A5212" w:rsidP="009D5D64">
      <w:pPr>
        <w:spacing w:after="0" w:line="240" w:lineRule="auto"/>
        <w:rPr>
          <w:b/>
        </w:rPr>
      </w:pPr>
    </w:p>
    <w:p w14:paraId="33357321" w14:textId="77777777" w:rsidR="00DD06FF" w:rsidRPr="00DD06FF" w:rsidRDefault="00DD06FF" w:rsidP="009D5D64">
      <w:pPr>
        <w:spacing w:after="0" w:line="240" w:lineRule="auto"/>
        <w:rPr>
          <w:b/>
        </w:rPr>
      </w:pPr>
      <w:r>
        <w:rPr>
          <w:b/>
        </w:rPr>
        <w:t>How to use this application form:</w:t>
      </w:r>
    </w:p>
    <w:p w14:paraId="248E7ED3" w14:textId="77777777" w:rsidR="00DD06FF" w:rsidRDefault="00DD06FF" w:rsidP="009D5D64">
      <w:pPr>
        <w:spacing w:after="0" w:line="240" w:lineRule="auto"/>
      </w:pPr>
    </w:p>
    <w:p w14:paraId="09A42339" w14:textId="77777777" w:rsidR="009D5D64" w:rsidRPr="000A3E55" w:rsidRDefault="009D5D64" w:rsidP="009D5D64">
      <w:pPr>
        <w:spacing w:after="0" w:line="240" w:lineRule="auto"/>
        <w:rPr>
          <w:rFonts w:eastAsia="Times New Roman" w:cs="Arial"/>
        </w:rPr>
      </w:pPr>
      <w:r w:rsidRPr="000A3E55">
        <w:t xml:space="preserve">It is in the interests of both the applicant and the supervisor that applications are correct and complete. The AFM has accordingly supplemented the application form with several annexes giving further details of the requirements that must in any case be addressed in the case of a </w:t>
      </w:r>
      <w:r w:rsidR="003E2740">
        <w:t>license</w:t>
      </w:r>
      <w:r w:rsidRPr="000A3E55">
        <w:t xml:space="preserve"> application. This list is not exhaustive, and since all the requirements have not yet been established it may be subject to change. You should therefore always consult the most recent regulation. You may also engage an adviser with experience of MiFID or other </w:t>
      </w:r>
      <w:r w:rsidR="003E2740">
        <w:t>license</w:t>
      </w:r>
      <w:r w:rsidRPr="000A3E55">
        <w:t xml:space="preserve"> applications. This does not release you from your own obligation to be aware of the requirements that applicants must meet. You are responsible for compliance with the legislation and regulation applying to you or your firm. </w:t>
      </w:r>
    </w:p>
    <w:p w14:paraId="78E7E884" w14:textId="77777777" w:rsidR="00696866" w:rsidRPr="000A3E55" w:rsidRDefault="00696866" w:rsidP="00696866">
      <w:pPr>
        <w:spacing w:after="0" w:line="240" w:lineRule="auto"/>
        <w:rPr>
          <w:rFonts w:eastAsia="Times New Roman" w:cs="Arial"/>
        </w:rPr>
      </w:pPr>
    </w:p>
    <w:p w14:paraId="73D01399" w14:textId="77777777" w:rsidR="009D5D64" w:rsidRPr="000A3E55" w:rsidRDefault="009D5D64" w:rsidP="009D5D64">
      <w:pPr>
        <w:spacing w:after="0" w:line="240" w:lineRule="auto"/>
        <w:rPr>
          <w:rFonts w:eastAsia="Times New Roman" w:cs="Arial"/>
        </w:rPr>
      </w:pPr>
    </w:p>
    <w:p w14:paraId="108CDA55" w14:textId="77777777" w:rsidR="009D5D64" w:rsidRPr="000A3E55" w:rsidRDefault="00DE544C" w:rsidP="009D5D64">
      <w:pPr>
        <w:spacing w:after="0" w:line="240" w:lineRule="auto"/>
        <w:rPr>
          <w:rFonts w:eastAsia="Times New Roman" w:cs="Arial"/>
        </w:rPr>
      </w:pPr>
      <w:r>
        <w:t>We would like</w:t>
      </w:r>
      <w:r w:rsidR="009D5D64" w:rsidRPr="000A3E55">
        <w:t xml:space="preserve"> to ask for your attention to the following notes on a number of points. </w:t>
      </w:r>
    </w:p>
    <w:p w14:paraId="06A0AB33" w14:textId="77777777" w:rsidR="009D5D64" w:rsidRPr="000A3E55" w:rsidRDefault="009D5D64" w:rsidP="009D5D64">
      <w:pPr>
        <w:spacing w:after="0" w:line="240" w:lineRule="auto"/>
        <w:rPr>
          <w:rFonts w:eastAsia="Times New Roman" w:cs="Arial"/>
        </w:rPr>
      </w:pPr>
    </w:p>
    <w:p w14:paraId="5CD47F78" w14:textId="77777777" w:rsidR="009D5D64" w:rsidRPr="000A3E55" w:rsidRDefault="009D5D64" w:rsidP="009D5D64">
      <w:pPr>
        <w:spacing w:after="0" w:line="240" w:lineRule="auto"/>
        <w:rPr>
          <w:u w:val="single"/>
        </w:rPr>
      </w:pPr>
      <w:r w:rsidRPr="000A3E55">
        <w:rPr>
          <w:u w:val="single"/>
        </w:rPr>
        <w:t>Explanation of matrices with investment services, investment activities, supplementary services and financial instruments</w:t>
      </w:r>
    </w:p>
    <w:p w14:paraId="5F2B046B" w14:textId="77777777" w:rsidR="009D5D64" w:rsidRPr="000A3E55" w:rsidRDefault="009D5D64" w:rsidP="009D5D64">
      <w:pPr>
        <w:spacing w:after="0" w:line="240" w:lineRule="auto"/>
        <w:rPr>
          <w:u w:val="single"/>
        </w:rPr>
      </w:pPr>
    </w:p>
    <w:p w14:paraId="1055774F" w14:textId="77777777" w:rsidR="00652100" w:rsidRPr="000A3E55" w:rsidRDefault="00652100" w:rsidP="009D5D64">
      <w:pPr>
        <w:spacing w:after="0" w:line="240" w:lineRule="auto"/>
        <w:rPr>
          <w:u w:val="single"/>
        </w:rPr>
      </w:pPr>
      <w:r w:rsidRPr="000A3E55">
        <w:t xml:space="preserve">The matrices contain a summary of the relevant text in Annex I to MiFID II. For the full text, the AFM refers you to </w:t>
      </w:r>
      <w:hyperlink r:id="rId8" w:history="1">
        <w:r w:rsidRPr="000A3E55">
          <w:rPr>
            <w:rStyle w:val="Hyperlink"/>
          </w:rPr>
          <w:t>the text of MiFID II, Annex I</w:t>
        </w:r>
      </w:hyperlink>
      <w:r w:rsidRPr="000A3E55">
        <w:rPr>
          <w:u w:val="single"/>
        </w:rPr>
        <w:t xml:space="preserve"> </w:t>
      </w:r>
    </w:p>
    <w:p w14:paraId="39CEBD88" w14:textId="77777777" w:rsidR="009D5D64" w:rsidRPr="000A3E55" w:rsidRDefault="009D5D64" w:rsidP="009D5D64">
      <w:pPr>
        <w:spacing w:after="0" w:line="240" w:lineRule="auto"/>
        <w:rPr>
          <w:rFonts w:eastAsia="Times New Roman" w:cs="Arial"/>
        </w:rPr>
      </w:pPr>
    </w:p>
    <w:p w14:paraId="4B49EE36" w14:textId="77777777" w:rsidR="009D5D64" w:rsidRPr="000A3E55" w:rsidRDefault="009D5D64" w:rsidP="009D5D64">
      <w:pPr>
        <w:autoSpaceDE w:val="0"/>
        <w:autoSpaceDN w:val="0"/>
        <w:adjustRightInd w:val="0"/>
        <w:spacing w:after="0" w:line="240" w:lineRule="auto"/>
        <w:rPr>
          <w:rFonts w:eastAsia="Times New Roman" w:cs="Arial"/>
          <w:u w:val="single"/>
        </w:rPr>
      </w:pPr>
      <w:r w:rsidRPr="000A3E55">
        <w:rPr>
          <w:u w:val="single"/>
        </w:rPr>
        <w:t>Auditor’s statement</w:t>
      </w:r>
    </w:p>
    <w:p w14:paraId="6E44655B" w14:textId="7AF7EA18" w:rsidR="009D5D64" w:rsidRPr="000A3E55" w:rsidRDefault="00684345" w:rsidP="00684345">
      <w:r w:rsidRPr="000A3E55">
        <w:t xml:space="preserve">An auditor’s statement is requested </w:t>
      </w:r>
      <w:r w:rsidR="00EB74C9">
        <w:t>to</w:t>
      </w:r>
      <w:r w:rsidRPr="000A3E55">
        <w:t xml:space="preserve"> evidence that </w:t>
      </w:r>
      <w:r w:rsidR="00EB74C9">
        <w:t>an investment firm complies with the capital requirement</w:t>
      </w:r>
      <w:r w:rsidRPr="000A3E55">
        <w:t xml:space="preserve"> of Section 3:53 </w:t>
      </w:r>
      <w:r w:rsidR="00EB74C9">
        <w:t xml:space="preserve">(1) and (3) </w:t>
      </w:r>
      <w:proofErr w:type="spellStart"/>
      <w:r w:rsidRPr="000A3E55">
        <w:t>Wft</w:t>
      </w:r>
      <w:proofErr w:type="spellEnd"/>
      <w:r w:rsidRPr="000A3E55">
        <w:t xml:space="preserve">. Under Section 3:53 </w:t>
      </w:r>
      <w:r w:rsidR="00EB74C9">
        <w:t xml:space="preserve">(1) </w:t>
      </w:r>
      <w:proofErr w:type="spellStart"/>
      <w:r w:rsidRPr="000A3E55">
        <w:t>Wft</w:t>
      </w:r>
      <w:proofErr w:type="spellEnd"/>
      <w:r w:rsidRPr="000A3E55">
        <w:t>, every investment firm must have a certain minimum equity</w:t>
      </w:r>
      <w:r w:rsidR="00EB74C9">
        <w:t xml:space="preserve"> (initial capital)</w:t>
      </w:r>
      <w:r w:rsidRPr="000A3E55">
        <w:t xml:space="preserve">. </w:t>
      </w:r>
      <w:r w:rsidR="00EB74C9">
        <w:t xml:space="preserve">Pursuant to Section 3:53 (3) </w:t>
      </w:r>
      <w:proofErr w:type="spellStart"/>
      <w:r w:rsidR="00EB74C9">
        <w:t>Wft</w:t>
      </w:r>
      <w:proofErr w:type="spellEnd"/>
      <w:r w:rsidR="00EB74C9">
        <w:t>, the required minimum initial capital of a particular type of investment firm is included</w:t>
      </w:r>
      <w:r w:rsidRPr="000A3E55">
        <w:t xml:space="preserve"> in Section</w:t>
      </w:r>
      <w:r w:rsidR="00EB74C9">
        <w:t>s</w:t>
      </w:r>
      <w:r w:rsidRPr="000A3E55">
        <w:t xml:space="preserve"> 48 </w:t>
      </w:r>
      <w:r w:rsidR="00EB74C9">
        <w:t xml:space="preserve">and 50 of the Decree on </w:t>
      </w:r>
      <w:r w:rsidRPr="000A3E55">
        <w:t xml:space="preserve">Prudential Rules </w:t>
      </w:r>
      <w:r w:rsidR="00EB74C9">
        <w:t xml:space="preserve">for Financial Undertakings </w:t>
      </w:r>
      <w:r w:rsidRPr="000A3E55">
        <w:t>(</w:t>
      </w:r>
      <w:proofErr w:type="spellStart"/>
      <w:r w:rsidR="00EB74C9">
        <w:t>Besluit</w:t>
      </w:r>
      <w:proofErr w:type="spellEnd"/>
      <w:r w:rsidR="00EB74C9">
        <w:t xml:space="preserve"> </w:t>
      </w:r>
      <w:proofErr w:type="spellStart"/>
      <w:r w:rsidR="00EB74C9">
        <w:t>prudentiële</w:t>
      </w:r>
      <w:proofErr w:type="spellEnd"/>
      <w:r w:rsidR="00EB74C9">
        <w:t xml:space="preserve"> regels </w:t>
      </w:r>
      <w:proofErr w:type="spellStart"/>
      <w:r w:rsidR="00EB74C9">
        <w:t>Wft</w:t>
      </w:r>
      <w:proofErr w:type="spellEnd"/>
      <w:r w:rsidR="00EB74C9">
        <w:t xml:space="preserve"> -</w:t>
      </w:r>
      <w:r w:rsidRPr="000A3E55">
        <w:t xml:space="preserve"> </w:t>
      </w:r>
      <w:proofErr w:type="spellStart"/>
      <w:r w:rsidRPr="000A3E55">
        <w:t>Bpr</w:t>
      </w:r>
      <w:proofErr w:type="spellEnd"/>
      <w:r w:rsidRPr="000A3E55">
        <w:t xml:space="preserve">). </w:t>
      </w:r>
    </w:p>
    <w:p w14:paraId="50F148CC" w14:textId="149F7D97" w:rsidR="009D5D64" w:rsidRPr="000A3E55" w:rsidRDefault="009D5D64" w:rsidP="009D5D64">
      <w:pPr>
        <w:autoSpaceDE w:val="0"/>
        <w:autoSpaceDN w:val="0"/>
        <w:adjustRightInd w:val="0"/>
        <w:spacing w:after="0" w:line="240" w:lineRule="auto"/>
        <w:rPr>
          <w:rFonts w:eastAsia="Times New Roman" w:cs="Arial"/>
        </w:rPr>
      </w:pPr>
      <w:r w:rsidRPr="000A3E55">
        <w:t xml:space="preserve">The Audit Firms (Supervision) Act </w:t>
      </w:r>
      <w:r w:rsidR="00527ACD">
        <w:t>(</w:t>
      </w:r>
      <w:r w:rsidRPr="000A3E55">
        <w:t xml:space="preserve">Wet </w:t>
      </w:r>
      <w:proofErr w:type="spellStart"/>
      <w:r w:rsidRPr="000A3E55">
        <w:t>toezicht</w:t>
      </w:r>
      <w:proofErr w:type="spellEnd"/>
      <w:r w:rsidRPr="000A3E55">
        <w:t xml:space="preserve"> </w:t>
      </w:r>
      <w:proofErr w:type="spellStart"/>
      <w:r w:rsidR="00527ACD" w:rsidRPr="00527ACD">
        <w:t>accountantsorganisaties</w:t>
      </w:r>
      <w:proofErr w:type="spellEnd"/>
      <w:r w:rsidRPr="000A3E55">
        <w:t xml:space="preserve">, or </w:t>
      </w:r>
      <w:proofErr w:type="spellStart"/>
      <w:r w:rsidRPr="000A3E55">
        <w:t>Wta</w:t>
      </w:r>
      <w:proofErr w:type="spellEnd"/>
      <w:r w:rsidR="00527ACD">
        <w:t>)</w:t>
      </w:r>
      <w:r w:rsidRPr="000A3E55">
        <w:t xml:space="preserve"> has been in force since 1 October 2006. Under the </w:t>
      </w:r>
      <w:proofErr w:type="spellStart"/>
      <w:r w:rsidRPr="000A3E55">
        <w:t>Wta</w:t>
      </w:r>
      <w:proofErr w:type="spellEnd"/>
      <w:r w:rsidRPr="000A3E55">
        <w:t xml:space="preserve">, only licensed audit firms may issue an auditor’s statement with regard to the financial statements of investment firms, management companies, depositaries and collective investment schemes. The AFM’s register of audit firms may be consulted to determine whether an audit firm has obtained a </w:t>
      </w:r>
      <w:r w:rsidR="003E2740">
        <w:t>license</w:t>
      </w:r>
      <w:r w:rsidRPr="000A3E55">
        <w:t xml:space="preserve"> under the </w:t>
      </w:r>
      <w:proofErr w:type="spellStart"/>
      <w:r w:rsidRPr="000A3E55">
        <w:t>Wta</w:t>
      </w:r>
      <w:proofErr w:type="spellEnd"/>
      <w:r w:rsidRPr="000A3E55">
        <w:t xml:space="preserve">. </w:t>
      </w:r>
    </w:p>
    <w:p w14:paraId="538293F3" w14:textId="77777777" w:rsidR="009D5D64" w:rsidRDefault="009D5D64" w:rsidP="009D5D64">
      <w:pPr>
        <w:autoSpaceDE w:val="0"/>
        <w:autoSpaceDN w:val="0"/>
        <w:adjustRightInd w:val="0"/>
        <w:spacing w:after="0" w:line="240" w:lineRule="auto"/>
        <w:rPr>
          <w:rFonts w:eastAsia="Times New Roman" w:cs="Arial"/>
        </w:rPr>
      </w:pPr>
    </w:p>
    <w:p w14:paraId="5AC7C3AE" w14:textId="77777777" w:rsidR="00EB74C9" w:rsidRPr="000A3E55" w:rsidRDefault="00EB74C9" w:rsidP="009D5D64">
      <w:pPr>
        <w:autoSpaceDE w:val="0"/>
        <w:autoSpaceDN w:val="0"/>
        <w:adjustRightInd w:val="0"/>
        <w:spacing w:after="0" w:line="240" w:lineRule="auto"/>
        <w:rPr>
          <w:rFonts w:eastAsia="Times New Roman" w:cs="Arial"/>
        </w:rPr>
      </w:pPr>
    </w:p>
    <w:p w14:paraId="5372A2F3" w14:textId="77777777" w:rsidR="009D5D64" w:rsidRPr="000A3E55" w:rsidRDefault="009D5D64" w:rsidP="009D5D64">
      <w:pPr>
        <w:spacing w:after="0" w:line="240" w:lineRule="auto"/>
        <w:rPr>
          <w:rFonts w:eastAsia="Times New Roman" w:cs="Arial"/>
          <w:bCs/>
          <w:u w:val="single"/>
        </w:rPr>
      </w:pPr>
      <w:r w:rsidRPr="000A3E55">
        <w:rPr>
          <w:bCs/>
          <w:u w:val="single"/>
        </w:rPr>
        <w:lastRenderedPageBreak/>
        <w:t>Persons to be assessed</w:t>
      </w:r>
    </w:p>
    <w:p w14:paraId="6FE21DAA" w14:textId="77777777" w:rsidR="009D5D64" w:rsidRPr="000A3E55" w:rsidRDefault="009D5D64" w:rsidP="009D5D64">
      <w:pPr>
        <w:spacing w:after="0" w:line="240" w:lineRule="auto"/>
        <w:rPr>
          <w:rFonts w:eastAsia="Times New Roman" w:cs="Arial"/>
          <w:bCs/>
        </w:rPr>
      </w:pPr>
      <w:r w:rsidRPr="000A3E55">
        <w:t xml:space="preserve">There are three functions on the basis of which persons must be assessed. These are persons in charge of day-to-day policy, supervisors and co-policymakers. </w:t>
      </w:r>
    </w:p>
    <w:p w14:paraId="5098F758" w14:textId="77777777" w:rsidR="009D5D64" w:rsidRPr="000A3E55" w:rsidRDefault="009D5D64" w:rsidP="009D5D64">
      <w:pPr>
        <w:spacing w:after="0" w:line="240" w:lineRule="auto"/>
        <w:rPr>
          <w:rFonts w:eastAsia="Times New Roman" w:cs="Arial"/>
          <w:b/>
          <w:bCs/>
        </w:rPr>
      </w:pPr>
    </w:p>
    <w:p w14:paraId="1755DD16" w14:textId="77777777" w:rsidR="009D5D64" w:rsidRDefault="009D5D64" w:rsidP="009D5D64">
      <w:pPr>
        <w:spacing w:after="0" w:line="240" w:lineRule="auto"/>
      </w:pPr>
      <w:r w:rsidRPr="000A3E55">
        <w:t xml:space="preserve">The AFM qualifies only natural persons as persons in charge of day-to-day policy, supervisors and co-policymakers. All these roles may be fulfilled via legal entities, in which case the policymakers (natural persons) of the legal entity are considered to be the persons referred to in Sections 4:9 and/or 4:10 </w:t>
      </w:r>
      <w:proofErr w:type="spellStart"/>
      <w:r w:rsidRPr="000A3E55">
        <w:t>Wft</w:t>
      </w:r>
      <w:proofErr w:type="spellEnd"/>
      <w:r w:rsidRPr="000A3E55">
        <w:t>. It may be that a legal entity is director of the above-stated legal entity. Ultimately the underlying natural persons must be stated here.</w:t>
      </w:r>
    </w:p>
    <w:p w14:paraId="540F60F8" w14:textId="77777777" w:rsidR="006258EC" w:rsidRDefault="006258EC" w:rsidP="009D5D64">
      <w:pPr>
        <w:spacing w:after="0" w:line="240" w:lineRule="auto"/>
      </w:pPr>
    </w:p>
    <w:p w14:paraId="6D07EAF9" w14:textId="77777777" w:rsidR="006258EC" w:rsidRPr="006258EC" w:rsidRDefault="006258EC" w:rsidP="009D5D64">
      <w:pPr>
        <w:spacing w:after="0" w:line="240" w:lineRule="auto"/>
        <w:rPr>
          <w:rFonts w:eastAsia="Times New Roman" w:cs="Arial"/>
          <w:b/>
          <w:bCs/>
          <w:u w:val="single"/>
        </w:rPr>
      </w:pPr>
      <w:r w:rsidRPr="006258EC">
        <w:rPr>
          <w:u w:val="single"/>
        </w:rPr>
        <w:t>Resolution fund</w:t>
      </w:r>
    </w:p>
    <w:p w14:paraId="63CE4D56" w14:textId="5AD7457A" w:rsidR="009B320D" w:rsidRDefault="009B320D" w:rsidP="009D5D64">
      <w:pPr>
        <w:spacing w:after="0" w:line="240" w:lineRule="auto"/>
        <w:rPr>
          <w:rFonts w:eastAsia="Times New Roman" w:cs="Times New Roman"/>
        </w:rPr>
      </w:pPr>
      <w:r>
        <w:rPr>
          <w:rFonts w:eastAsia="Times New Roman" w:cs="Times New Roman"/>
        </w:rPr>
        <w:t>Branches of credit institutions or investment firms from a non</w:t>
      </w:r>
      <w:r w:rsidR="00527ACD">
        <w:rPr>
          <w:rFonts w:eastAsia="Times New Roman" w:cs="Times New Roman"/>
        </w:rPr>
        <w:t>-</w:t>
      </w:r>
      <w:r>
        <w:rPr>
          <w:rFonts w:eastAsia="Times New Roman" w:cs="Times New Roman"/>
        </w:rPr>
        <w:t xml:space="preserve">member state have to contribute to the National Resolution Fund (NRF). The NRF will be funded in a period of approximately 10 years by lumpsum amounts. The expectation is that the fund will eventually consist of 3 to 4 million euros. </w:t>
      </w:r>
    </w:p>
    <w:p w14:paraId="7C79D83F" w14:textId="77777777" w:rsidR="009B320D" w:rsidRDefault="009B320D" w:rsidP="009D5D64">
      <w:pPr>
        <w:spacing w:after="0" w:line="240" w:lineRule="auto"/>
        <w:rPr>
          <w:rFonts w:eastAsia="Times New Roman" w:cs="Times New Roman"/>
        </w:rPr>
      </w:pPr>
    </w:p>
    <w:p w14:paraId="6969DA53" w14:textId="77777777" w:rsidR="006258EC" w:rsidRPr="0078423B" w:rsidRDefault="006258EC" w:rsidP="009D5D64">
      <w:pPr>
        <w:spacing w:after="0" w:line="240" w:lineRule="auto"/>
        <w:rPr>
          <w:rFonts w:eastAsia="Times New Roman" w:cs="Times New Roman"/>
          <w:lang w:val="en-US"/>
        </w:rPr>
      </w:pPr>
    </w:p>
    <w:p w14:paraId="1CE9A2A8" w14:textId="77777777" w:rsidR="009D5D64" w:rsidRPr="000A3E55" w:rsidRDefault="009D5D64" w:rsidP="009D5D64">
      <w:r w:rsidRPr="000A3E55">
        <w:t>We also wish to draw your attention to the following:</w:t>
      </w:r>
    </w:p>
    <w:p w14:paraId="4A11CE36" w14:textId="77777777" w:rsidR="009D5D64" w:rsidRPr="000A3E55" w:rsidRDefault="009D5D64" w:rsidP="009D5D64">
      <w:pPr>
        <w:numPr>
          <w:ilvl w:val="0"/>
          <w:numId w:val="1"/>
        </w:numPr>
        <w:autoSpaceDE w:val="0"/>
        <w:autoSpaceDN w:val="0"/>
        <w:adjustRightInd w:val="0"/>
        <w:spacing w:after="0" w:line="240" w:lineRule="auto"/>
        <w:ind w:left="360"/>
        <w:rPr>
          <w:rFonts w:eastAsia="Times New Roman" w:cs="Arial"/>
        </w:rPr>
      </w:pPr>
      <w:r w:rsidRPr="000A3E55">
        <w:t xml:space="preserve">In order to submit a </w:t>
      </w:r>
      <w:r w:rsidR="003E2740">
        <w:t>license</w:t>
      </w:r>
      <w:r w:rsidRPr="000A3E55">
        <w:t xml:space="preserve"> application, the applicant must use the</w:t>
      </w:r>
      <w:r w:rsidR="00455013">
        <w:t xml:space="preserve"> correct l</w:t>
      </w:r>
      <w:r w:rsidR="003E2740">
        <w:t>icense</w:t>
      </w:r>
      <w:r w:rsidRPr="000A3E55">
        <w:t xml:space="preserve"> application form and</w:t>
      </w:r>
      <w:r w:rsidR="00455013">
        <w:t xml:space="preserve"> provide the required enclosures</w:t>
      </w:r>
      <w:r w:rsidRPr="000A3E55">
        <w:t xml:space="preserve"> with this form. </w:t>
      </w:r>
    </w:p>
    <w:p w14:paraId="2820DCE3" w14:textId="77777777" w:rsidR="009D5D64" w:rsidRPr="000A3E55" w:rsidRDefault="009D5D64" w:rsidP="009D5D64">
      <w:pPr>
        <w:autoSpaceDE w:val="0"/>
        <w:autoSpaceDN w:val="0"/>
        <w:adjustRightInd w:val="0"/>
        <w:spacing w:after="0" w:line="240" w:lineRule="auto"/>
        <w:rPr>
          <w:rFonts w:eastAsia="Times New Roman" w:cs="Arial"/>
        </w:rPr>
      </w:pPr>
    </w:p>
    <w:p w14:paraId="0FC6C031" w14:textId="5536598F" w:rsidR="009D5D64" w:rsidRPr="000A3E55" w:rsidRDefault="00527ACD" w:rsidP="009D5D64">
      <w:pPr>
        <w:numPr>
          <w:ilvl w:val="0"/>
          <w:numId w:val="1"/>
        </w:numPr>
        <w:autoSpaceDE w:val="0"/>
        <w:autoSpaceDN w:val="0"/>
        <w:adjustRightInd w:val="0"/>
        <w:spacing w:after="0" w:line="240" w:lineRule="auto"/>
        <w:ind w:left="360"/>
        <w:rPr>
          <w:rFonts w:eastAsia="Times New Roman" w:cs="Arial"/>
        </w:rPr>
      </w:pPr>
      <w:r>
        <w:t xml:space="preserve">Please submit your application by uploading it </w:t>
      </w:r>
      <w:r w:rsidR="00455013">
        <w:t>on our website. For this, y</w:t>
      </w:r>
      <w:r w:rsidR="009D5D64" w:rsidRPr="000A3E55">
        <w:t xml:space="preserve">ou </w:t>
      </w:r>
      <w:r w:rsidR="00455013">
        <w:t xml:space="preserve">first need to apply for a AFM ID. Information on this is on our website. After that, you </w:t>
      </w:r>
      <w:r w:rsidR="009D5D64" w:rsidRPr="000A3E55">
        <w:t>must complete and save the application for</w:t>
      </w:r>
      <w:r w:rsidR="00455013">
        <w:t>m and the Annex (with enclosures</w:t>
      </w:r>
      <w:r w:rsidR="009D5D64" w:rsidRPr="000A3E55">
        <w:t xml:space="preserve">). You can then upload this document </w:t>
      </w:r>
      <w:r>
        <w:t xml:space="preserve">and the requested enclosures </w:t>
      </w:r>
      <w:r w:rsidR="009D5D64" w:rsidRPr="000A3E55">
        <w:t>as an attachment to</w:t>
      </w:r>
      <w:r>
        <w:t xml:space="preserve"> your application</w:t>
      </w:r>
      <w:r w:rsidR="009D5D64" w:rsidRPr="000A3E55">
        <w:t xml:space="preserve">. </w:t>
      </w:r>
    </w:p>
    <w:p w14:paraId="56C7D577" w14:textId="77777777" w:rsidR="009D5D64" w:rsidRPr="000A3E55" w:rsidRDefault="009D5D64" w:rsidP="009D5D64">
      <w:pPr>
        <w:spacing w:after="0" w:line="240" w:lineRule="auto"/>
        <w:rPr>
          <w:rFonts w:eastAsia="Times New Roman" w:cs="Arial"/>
        </w:rPr>
      </w:pPr>
    </w:p>
    <w:p w14:paraId="4B5522E0" w14:textId="77777777" w:rsidR="009D5D64" w:rsidRPr="000A3E55" w:rsidRDefault="009D5D64" w:rsidP="009D5D64">
      <w:pPr>
        <w:numPr>
          <w:ilvl w:val="0"/>
          <w:numId w:val="1"/>
        </w:numPr>
        <w:autoSpaceDE w:val="0"/>
        <w:autoSpaceDN w:val="0"/>
        <w:adjustRightInd w:val="0"/>
        <w:spacing w:after="0" w:line="240" w:lineRule="auto"/>
        <w:ind w:left="360"/>
        <w:rPr>
          <w:rFonts w:eastAsia="Times New Roman" w:cs="Arial"/>
        </w:rPr>
      </w:pPr>
      <w:r w:rsidRPr="000A3E55">
        <w:t xml:space="preserve">A fee is charged by the </w:t>
      </w:r>
      <w:r w:rsidR="00455013">
        <w:t xml:space="preserve">AFM to the applicant for filing </w:t>
      </w:r>
      <w:r w:rsidRPr="000A3E55">
        <w:t xml:space="preserve">the application. An invoice will follow </w:t>
      </w:r>
      <w:proofErr w:type="spellStart"/>
      <w:r w:rsidRPr="000A3E55">
        <w:t>some time</w:t>
      </w:r>
      <w:proofErr w:type="spellEnd"/>
      <w:r w:rsidRPr="000A3E55">
        <w:t xml:space="preserve"> after submission of the application.</w:t>
      </w:r>
      <w:r w:rsidRPr="000A3E55">
        <w:br/>
      </w:r>
    </w:p>
    <w:p w14:paraId="1C27D3C1" w14:textId="77777777" w:rsidR="009D5D64" w:rsidRPr="000A3E55" w:rsidRDefault="009D5D64" w:rsidP="009D5D64">
      <w:pPr>
        <w:numPr>
          <w:ilvl w:val="0"/>
          <w:numId w:val="1"/>
        </w:numPr>
        <w:autoSpaceDE w:val="0"/>
        <w:autoSpaceDN w:val="0"/>
        <w:adjustRightInd w:val="0"/>
        <w:spacing w:after="0" w:line="240" w:lineRule="auto"/>
        <w:ind w:left="360"/>
        <w:rPr>
          <w:rFonts w:eastAsia="Times New Roman" w:cs="Arial"/>
        </w:rPr>
      </w:pPr>
      <w:r w:rsidRPr="000A3E55">
        <w:t xml:space="preserve">The AFM will only process a </w:t>
      </w:r>
      <w:r w:rsidR="003E2740">
        <w:t>license</w:t>
      </w:r>
      <w:r w:rsidRPr="000A3E55">
        <w:t xml:space="preserve"> application if the </w:t>
      </w:r>
      <w:r w:rsidR="003E2740">
        <w:t>license</w:t>
      </w:r>
      <w:r w:rsidRPr="000A3E55">
        <w:t xml:space="preserve"> application form is fully completed and legally signed on behalf of the applicant.</w:t>
      </w:r>
      <w:r w:rsidRPr="000A3E55">
        <w:br/>
      </w:r>
    </w:p>
    <w:p w14:paraId="3EF34790" w14:textId="2EEC017E" w:rsidR="009D5D64" w:rsidRPr="000A3E55" w:rsidRDefault="00455013" w:rsidP="009D5D64">
      <w:pPr>
        <w:numPr>
          <w:ilvl w:val="0"/>
          <w:numId w:val="1"/>
        </w:numPr>
        <w:autoSpaceDE w:val="0"/>
        <w:autoSpaceDN w:val="0"/>
        <w:adjustRightInd w:val="0"/>
        <w:spacing w:after="0" w:line="240" w:lineRule="auto"/>
        <w:ind w:left="360"/>
        <w:rPr>
          <w:rFonts w:eastAsia="Times New Roman" w:cs="Arial"/>
        </w:rPr>
      </w:pPr>
      <w:r>
        <w:t>A completed and signed Integrity Screening form, a Referees form</w:t>
      </w:r>
      <w:r w:rsidR="009D5D64" w:rsidRPr="000A3E55">
        <w:t xml:space="preserve">, a Notification Form </w:t>
      </w:r>
      <w:r w:rsidR="00756D18">
        <w:t xml:space="preserve">for prospective appointment </w:t>
      </w:r>
      <w:r w:rsidR="009D5D64" w:rsidRPr="000A3E55">
        <w:t>and an “Oath o</w:t>
      </w:r>
      <w:r w:rsidR="00756D18">
        <w:t xml:space="preserve">r solemn affirmation” must </w:t>
      </w:r>
      <w:r w:rsidR="009D5D64" w:rsidRPr="000A3E55">
        <w:t>be submitted for the persons to be assessed. These documents are available at the</w:t>
      </w:r>
      <w:r w:rsidR="00527ACD">
        <w:t xml:space="preserve"> same web location as this application form.</w:t>
      </w:r>
      <w:r w:rsidR="009D5D64" w:rsidRPr="000A3E55">
        <w:t xml:space="preserve"> As regards the day-to-day policymakers and regulatory authorities, a suitability matrix per collective has to be sent in as well. For more information about the suitability assessment and the properness check, see the explanation on the AFM website.</w:t>
      </w:r>
      <w:r w:rsidR="009D5D64" w:rsidRPr="000A3E55">
        <w:br/>
      </w:r>
    </w:p>
    <w:p w14:paraId="160D3ED9" w14:textId="77777777" w:rsidR="009D5D64" w:rsidRPr="000A3E55" w:rsidRDefault="009D5D64" w:rsidP="009D5D64">
      <w:pPr>
        <w:numPr>
          <w:ilvl w:val="0"/>
          <w:numId w:val="1"/>
        </w:numPr>
        <w:autoSpaceDE w:val="0"/>
        <w:autoSpaceDN w:val="0"/>
        <w:adjustRightInd w:val="0"/>
        <w:spacing w:after="0" w:line="240" w:lineRule="auto"/>
        <w:ind w:left="360"/>
        <w:rPr>
          <w:rFonts w:eastAsia="Times New Roman" w:cs="Arial"/>
        </w:rPr>
      </w:pPr>
      <w:r w:rsidRPr="000A3E55">
        <w:t xml:space="preserve">The AFM is entitled to request additional information and/or documentation needed for the assessment of the </w:t>
      </w:r>
      <w:r w:rsidR="003E2740">
        <w:t>license</w:t>
      </w:r>
      <w:r w:rsidRPr="000A3E55">
        <w:t xml:space="preserve"> application.</w:t>
      </w:r>
      <w:r w:rsidRPr="000A3E55">
        <w:br/>
      </w:r>
    </w:p>
    <w:p w14:paraId="1530D504" w14:textId="77777777" w:rsidR="009D5D64" w:rsidRPr="000A3E55" w:rsidRDefault="009D5D64" w:rsidP="009D5D64">
      <w:pPr>
        <w:numPr>
          <w:ilvl w:val="0"/>
          <w:numId w:val="1"/>
        </w:numPr>
        <w:autoSpaceDE w:val="0"/>
        <w:autoSpaceDN w:val="0"/>
        <w:adjustRightInd w:val="0"/>
        <w:spacing w:after="0" w:line="240" w:lineRule="auto"/>
        <w:ind w:left="360"/>
        <w:rPr>
          <w:rFonts w:eastAsia="Times New Roman" w:cs="Arial"/>
        </w:rPr>
      </w:pPr>
      <w:r w:rsidRPr="000A3E55">
        <w:t xml:space="preserve">If circumstances as stated in the </w:t>
      </w:r>
      <w:r w:rsidR="003E2740">
        <w:t>license</w:t>
      </w:r>
      <w:r w:rsidRPr="000A3E55">
        <w:t xml:space="preserve"> application form change during the </w:t>
      </w:r>
      <w:r w:rsidR="003E2740">
        <w:t>license</w:t>
      </w:r>
      <w:r w:rsidRPr="000A3E55">
        <w:t xml:space="preserve"> application process, the AFM must be informed of this in writing without delay.</w:t>
      </w:r>
    </w:p>
    <w:p w14:paraId="0D68A730" w14:textId="77777777" w:rsidR="009D5D64" w:rsidRPr="000A3E55" w:rsidRDefault="009D5D64" w:rsidP="009D5D64">
      <w:pPr>
        <w:autoSpaceDE w:val="0"/>
        <w:autoSpaceDN w:val="0"/>
        <w:adjustRightInd w:val="0"/>
        <w:spacing w:after="0" w:line="240" w:lineRule="auto"/>
        <w:ind w:left="360"/>
        <w:rPr>
          <w:rFonts w:eastAsia="Times New Roman" w:cs="Arial"/>
        </w:rPr>
      </w:pPr>
    </w:p>
    <w:p w14:paraId="02E2A0C7" w14:textId="20BD39C4" w:rsidR="009D5D64" w:rsidRPr="000A3E55" w:rsidRDefault="009D5D64" w:rsidP="009D5D64">
      <w:pPr>
        <w:autoSpaceDE w:val="0"/>
        <w:autoSpaceDN w:val="0"/>
        <w:adjustRightInd w:val="0"/>
        <w:spacing w:after="0" w:line="240" w:lineRule="auto"/>
        <w:rPr>
          <w:rFonts w:eastAsia="Times New Roman" w:cs="Arial"/>
        </w:rPr>
      </w:pPr>
      <w:r w:rsidRPr="000A3E55">
        <w:t>If you have any questions when completing this form, please contact the Business Desk</w:t>
      </w:r>
      <w:r w:rsidR="000A3E55">
        <w:t>,</w:t>
      </w:r>
      <w:r w:rsidRPr="000A3E55">
        <w:t xml:space="preserve"> by telephone on 0800-6800680 (available on business days from 10:00 to 17:00 hours) or by e-mail to ondernemersloket@afm.nl</w:t>
      </w:r>
      <w:r w:rsidR="00527ACD">
        <w:t>.</w:t>
      </w:r>
    </w:p>
    <w:p w14:paraId="4B3E9895" w14:textId="77777777" w:rsidR="00DB41CD" w:rsidRPr="000A3E55" w:rsidRDefault="00DB41CD" w:rsidP="009D5D64">
      <w:pPr>
        <w:spacing w:after="0" w:line="240" w:lineRule="auto"/>
        <w:rPr>
          <w:rFonts w:eastAsia="Times New Roman" w:cs="Arial"/>
          <w:color w:val="330066"/>
        </w:rPr>
      </w:pPr>
    </w:p>
    <w:p w14:paraId="3B705F01" w14:textId="77777777" w:rsidR="00DB41CD" w:rsidRPr="000A3E55" w:rsidRDefault="00DB41CD" w:rsidP="00546B66">
      <w:pPr>
        <w:spacing w:after="0" w:line="240" w:lineRule="auto"/>
        <w:rPr>
          <w:rFonts w:ascii="Calibri" w:eastAsia="Times New Roman" w:hAnsi="Calibri" w:cs="Arial"/>
          <w:b/>
          <w:bCs/>
        </w:rPr>
      </w:pPr>
      <w:r w:rsidRPr="000A3E55">
        <w:rPr>
          <w:rFonts w:ascii="Calibri" w:hAnsi="Calibri"/>
          <w:b/>
          <w:bCs/>
        </w:rPr>
        <w:t>Signature</w:t>
      </w:r>
    </w:p>
    <w:p w14:paraId="60F96FCB" w14:textId="77777777" w:rsidR="00DB41CD" w:rsidRPr="000A3E55" w:rsidRDefault="00DB41CD" w:rsidP="00DB41CD">
      <w:pPr>
        <w:spacing w:after="0" w:line="240" w:lineRule="auto"/>
        <w:rPr>
          <w:rFonts w:ascii="Calibri" w:eastAsia="Times New Roman" w:hAnsi="Calibri" w:cs="Arial"/>
          <w:b/>
          <w:bCs/>
        </w:rPr>
      </w:pPr>
    </w:p>
    <w:tbl>
      <w:tblPr>
        <w:tblW w:w="0" w:type="auto"/>
        <w:tblBorders>
          <w:top w:val="single" w:sz="12" w:space="0" w:color="008000"/>
          <w:bottom w:val="single" w:sz="12" w:space="0" w:color="008000"/>
        </w:tblBorders>
        <w:tblLayout w:type="fixed"/>
        <w:tblCellMar>
          <w:left w:w="0" w:type="dxa"/>
          <w:right w:w="0" w:type="dxa"/>
        </w:tblCellMar>
        <w:tblLook w:val="04A0" w:firstRow="1" w:lastRow="0" w:firstColumn="1" w:lastColumn="0" w:noHBand="0" w:noVBand="1"/>
      </w:tblPr>
      <w:tblGrid>
        <w:gridCol w:w="9639"/>
      </w:tblGrid>
      <w:tr w:rsidR="00DB41CD" w:rsidRPr="000A3E55" w14:paraId="34C1C17E" w14:textId="77777777" w:rsidTr="002C5F33">
        <w:trPr>
          <w:trHeight w:val="2398"/>
        </w:trPr>
        <w:tc>
          <w:tcPr>
            <w:tcW w:w="9639" w:type="dxa"/>
            <w:tcBorders>
              <w:top w:val="nil"/>
              <w:left w:val="nil"/>
              <w:bottom w:val="nil"/>
              <w:right w:val="nil"/>
            </w:tcBorders>
          </w:tcPr>
          <w:p w14:paraId="5C42B50E" w14:textId="77777777" w:rsidR="00DB41CD" w:rsidRPr="000A3E55" w:rsidRDefault="00DB41CD" w:rsidP="00DB41CD">
            <w:pPr>
              <w:spacing w:after="0" w:line="240" w:lineRule="auto"/>
              <w:rPr>
                <w:rFonts w:ascii="Calibri" w:eastAsia="Times New Roman" w:hAnsi="Calibri" w:cs="Arial"/>
              </w:rPr>
            </w:pPr>
            <w:r w:rsidRPr="000A3E55">
              <w:rPr>
                <w:rFonts w:ascii="Calibri" w:hAnsi="Calibri"/>
              </w:rPr>
              <w:t>The undersigned</w:t>
            </w:r>
            <w:r w:rsidR="00162AA1" w:rsidRPr="000A3E55">
              <w:rPr>
                <w:rStyle w:val="FootnoteReference"/>
                <w:rFonts w:ascii="Calibri" w:eastAsia="Times New Roman" w:hAnsi="Calibri" w:cs="Arial"/>
              </w:rPr>
              <w:footnoteReference w:id="11"/>
            </w:r>
            <w:r w:rsidRPr="000A3E55">
              <w:rPr>
                <w:rFonts w:ascii="Calibri" w:hAnsi="Calibri"/>
              </w:rPr>
              <w:t xml:space="preserve"> declare that this application form and the enclosed attachments are truthful and complete.</w:t>
            </w:r>
          </w:p>
          <w:p w14:paraId="0628D306" w14:textId="77777777" w:rsidR="00DB41CD" w:rsidRPr="000A3E55" w:rsidRDefault="00DB41CD" w:rsidP="00DB41CD">
            <w:pPr>
              <w:spacing w:after="0" w:line="240" w:lineRule="auto"/>
              <w:rPr>
                <w:rFonts w:ascii="Calibri" w:eastAsia="Times New Roman" w:hAnsi="Calibri" w:cs="Arial"/>
              </w:rPr>
            </w:pPr>
          </w:p>
          <w:p w14:paraId="67344719" w14:textId="77777777" w:rsidR="00DB41CD" w:rsidRPr="000A3E55" w:rsidRDefault="00DB41CD" w:rsidP="00DB41CD">
            <w:pPr>
              <w:spacing w:after="0" w:line="240" w:lineRule="auto"/>
              <w:rPr>
                <w:rFonts w:ascii="Calibri" w:eastAsia="Times New Roman" w:hAnsi="Calibri" w:cs="Arial"/>
              </w:rPr>
            </w:pPr>
            <w:r w:rsidRPr="000A3E55">
              <w:rPr>
                <w:rFonts w:ascii="Calibri" w:hAnsi="Calibri"/>
              </w:rPr>
              <w:t>Place</w:t>
            </w:r>
            <w:r w:rsidRPr="000A3E55">
              <w:rPr>
                <w:rFonts w:ascii="Calibri" w:hAnsi="Calibri"/>
              </w:rPr>
              <w:tab/>
            </w:r>
            <w:r w:rsidRPr="000A3E55">
              <w:rPr>
                <w:rFonts w:ascii="Calibri" w:hAnsi="Calibri"/>
              </w:rPr>
              <w:tab/>
            </w:r>
            <w:r w:rsidRPr="000A3E55">
              <w:rPr>
                <w:rFonts w:ascii="Calibri" w:hAnsi="Calibri"/>
              </w:rPr>
              <w:tab/>
            </w:r>
            <w:r w:rsidRPr="000A3E55">
              <w:rPr>
                <w:rFonts w:ascii="Calibri" w:hAnsi="Calibri"/>
              </w:rPr>
              <w:tab/>
            </w:r>
            <w:r w:rsidRPr="000A3E55">
              <w:rPr>
                <w:rFonts w:ascii="Calibri" w:hAnsi="Calibri"/>
              </w:rPr>
              <w:tab/>
            </w:r>
            <w:r w:rsidRPr="000A3E55">
              <w:rPr>
                <w:rFonts w:ascii="Calibri" w:hAnsi="Calibri"/>
              </w:rPr>
              <w:tab/>
            </w:r>
            <w:r w:rsidRPr="000A3E55">
              <w:rPr>
                <w:rFonts w:ascii="Calibri" w:hAnsi="Calibri"/>
              </w:rPr>
              <w:tab/>
              <w:t>Date</w:t>
            </w:r>
            <w:r w:rsidRPr="000A3E55">
              <w:rPr>
                <w:rFonts w:ascii="Calibri" w:hAnsi="Calibri"/>
              </w:rPr>
              <w:tab/>
            </w:r>
          </w:p>
          <w:p w14:paraId="5B987394" w14:textId="77777777" w:rsidR="00DB41CD" w:rsidRPr="000A3E55" w:rsidRDefault="00DB41CD" w:rsidP="00DB41CD">
            <w:pPr>
              <w:spacing w:after="0" w:line="240" w:lineRule="auto"/>
              <w:rPr>
                <w:rFonts w:ascii="Calibri" w:eastAsia="Times New Roman" w:hAnsi="Calibri" w:cs="Arial"/>
              </w:rPr>
            </w:pPr>
          </w:p>
          <w:p w14:paraId="0296EB62" w14:textId="77777777" w:rsidR="00DB41CD" w:rsidRPr="000A3E55" w:rsidRDefault="00DB41CD" w:rsidP="00DB41CD">
            <w:pPr>
              <w:spacing w:after="0" w:line="240" w:lineRule="auto"/>
              <w:rPr>
                <w:rFonts w:ascii="Calibri" w:eastAsia="Times New Roman" w:hAnsi="Calibri" w:cs="Arial"/>
              </w:rPr>
            </w:pPr>
            <w:r w:rsidRPr="000A3E55">
              <w:rPr>
                <w:rFonts w:ascii="Calibri" w:hAnsi="Calibri"/>
              </w:rPr>
              <w:t>Name of person in charge of day-to-day policy</w:t>
            </w:r>
            <w:r w:rsidRPr="000A3E55">
              <w:rPr>
                <w:rFonts w:ascii="Calibri" w:hAnsi="Calibri"/>
              </w:rPr>
              <w:tab/>
            </w:r>
            <w:r w:rsidRPr="000A3E55">
              <w:rPr>
                <w:rFonts w:ascii="Calibri" w:hAnsi="Calibri"/>
              </w:rPr>
              <w:tab/>
            </w:r>
            <w:r w:rsidRPr="000A3E55">
              <w:rPr>
                <w:rFonts w:ascii="Calibri" w:hAnsi="Calibri"/>
              </w:rPr>
              <w:tab/>
              <w:t>Signature of person in charge of day-to-day policy</w:t>
            </w:r>
          </w:p>
          <w:p w14:paraId="72D0B051" w14:textId="77777777" w:rsidR="00DB41CD" w:rsidRPr="000A3E55" w:rsidRDefault="00DB41CD" w:rsidP="00DB41CD">
            <w:pPr>
              <w:spacing w:after="0" w:line="240" w:lineRule="auto"/>
              <w:rPr>
                <w:rFonts w:ascii="Calibri" w:eastAsia="Times New Roman" w:hAnsi="Calibri" w:cs="Arial"/>
              </w:rPr>
            </w:pPr>
          </w:p>
          <w:p w14:paraId="4B090997" w14:textId="77777777" w:rsidR="00DB41CD" w:rsidRPr="000A3E55" w:rsidRDefault="00DB41CD" w:rsidP="00DB41CD">
            <w:pPr>
              <w:spacing w:after="0" w:line="240" w:lineRule="auto"/>
              <w:rPr>
                <w:rFonts w:ascii="Calibri" w:eastAsia="Times New Roman" w:hAnsi="Calibri" w:cs="Arial"/>
              </w:rPr>
            </w:pPr>
          </w:p>
        </w:tc>
      </w:tr>
    </w:tbl>
    <w:p w14:paraId="0828DE3C" w14:textId="77777777" w:rsidR="00DB41CD" w:rsidRPr="000A3E55" w:rsidRDefault="00DB41CD" w:rsidP="009D5D64">
      <w:pPr>
        <w:rPr>
          <w:rFonts w:eastAsia="Times New Roman" w:cs="Arial"/>
          <w:b/>
          <w:bCs/>
          <w:color w:val="330066"/>
        </w:rPr>
      </w:pPr>
    </w:p>
    <w:sectPr w:rsidR="00DB41CD" w:rsidRPr="000A3E55" w:rsidSect="00CC4047">
      <w:headerReference w:type="default" r:id="rId9"/>
      <w:footerReference w:type="default" r:id="rId10"/>
      <w:type w:val="continuous"/>
      <w:pgSz w:w="11906" w:h="16838"/>
      <w:pgMar w:top="3260" w:right="958" w:bottom="1599" w:left="128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EC4101" w14:textId="77777777" w:rsidR="00D539D7" w:rsidRDefault="00D539D7" w:rsidP="00DB41CD">
      <w:pPr>
        <w:spacing w:after="0" w:line="240" w:lineRule="auto"/>
      </w:pPr>
      <w:r>
        <w:separator/>
      </w:r>
    </w:p>
  </w:endnote>
  <w:endnote w:type="continuationSeparator" w:id="0">
    <w:p w14:paraId="43AE6C8C" w14:textId="77777777" w:rsidR="00D539D7" w:rsidRDefault="00D539D7" w:rsidP="00DB4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EUAlbertina">
    <w:altName w:val="Cambria"/>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28CA3" w14:textId="78418555" w:rsidR="00470908" w:rsidRPr="001F65CC" w:rsidRDefault="00470908">
    <w:pPr>
      <w:pStyle w:val="Footer"/>
      <w:rPr>
        <w:sz w:val="16"/>
        <w:szCs w:val="16"/>
      </w:rPr>
    </w:pPr>
    <w:r>
      <w:rPr>
        <w:sz w:val="16"/>
        <w:szCs w:val="16"/>
      </w:rPr>
      <w:t xml:space="preserve">Application form third country investment firms, </w:t>
    </w:r>
    <w:r w:rsidR="007350A6">
      <w:rPr>
        <w:sz w:val="16"/>
        <w:szCs w:val="16"/>
      </w:rPr>
      <w:t>June 2018</w:t>
    </w:r>
  </w:p>
  <w:p w14:paraId="58CA07C7" w14:textId="77777777" w:rsidR="00470908" w:rsidRDefault="004709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A54D47" w14:textId="77777777" w:rsidR="00D539D7" w:rsidRDefault="00D539D7" w:rsidP="00DB41CD">
      <w:pPr>
        <w:spacing w:after="0" w:line="240" w:lineRule="auto"/>
      </w:pPr>
      <w:r>
        <w:separator/>
      </w:r>
    </w:p>
  </w:footnote>
  <w:footnote w:type="continuationSeparator" w:id="0">
    <w:p w14:paraId="1CE35F3F" w14:textId="77777777" w:rsidR="00D539D7" w:rsidRDefault="00D539D7" w:rsidP="00DB41CD">
      <w:pPr>
        <w:spacing w:after="0" w:line="240" w:lineRule="auto"/>
      </w:pPr>
      <w:r>
        <w:continuationSeparator/>
      </w:r>
    </w:p>
  </w:footnote>
  <w:footnote w:id="1">
    <w:p w14:paraId="697E4F39" w14:textId="77777777" w:rsidR="00470908" w:rsidRPr="00130674" w:rsidRDefault="00470908">
      <w:pPr>
        <w:pStyle w:val="FootnoteText"/>
      </w:pPr>
      <w:r>
        <w:rPr>
          <w:rStyle w:val="FootnoteReference"/>
        </w:rPr>
        <w:footnoteRef/>
      </w:r>
      <w:r>
        <w:t xml:space="preserve"> </w:t>
      </w:r>
      <w:proofErr w:type="spellStart"/>
      <w:r>
        <w:t>Wft</w:t>
      </w:r>
      <w:proofErr w:type="spellEnd"/>
      <w:r>
        <w:t xml:space="preserve"> refers to the Wet op het </w:t>
      </w:r>
      <w:proofErr w:type="spellStart"/>
      <w:r>
        <w:t>financieel</w:t>
      </w:r>
      <w:proofErr w:type="spellEnd"/>
      <w:r>
        <w:t xml:space="preserve"> </w:t>
      </w:r>
      <w:proofErr w:type="spellStart"/>
      <w:r>
        <w:t>toezicht</w:t>
      </w:r>
      <w:proofErr w:type="spellEnd"/>
      <w:r>
        <w:t xml:space="preserve"> (the Dutch Act on Financial Supervision)</w:t>
      </w:r>
    </w:p>
  </w:footnote>
  <w:footnote w:id="2">
    <w:p w14:paraId="2DB22170" w14:textId="77777777" w:rsidR="00470908" w:rsidRPr="00265FDF" w:rsidRDefault="00470908">
      <w:pPr>
        <w:pStyle w:val="FootnoteText"/>
      </w:pPr>
      <w:r>
        <w:rPr>
          <w:rStyle w:val="FootnoteReference"/>
        </w:rPr>
        <w:footnoteRef/>
      </w:r>
      <w:r>
        <w:t xml:space="preserve"> Using an external advisor is not mandatory. However due to the fact that all regulation is in Dutch, we do deem it preferable. </w:t>
      </w:r>
    </w:p>
  </w:footnote>
  <w:footnote w:id="3">
    <w:p w14:paraId="25B99676" w14:textId="77777777" w:rsidR="00470908" w:rsidRPr="003771F8" w:rsidRDefault="00470908" w:rsidP="003771F8">
      <w:pPr>
        <w:pStyle w:val="FootnoteText"/>
        <w:rPr>
          <w:rFonts w:ascii="Verdana" w:hAnsi="Verdana"/>
        </w:rPr>
      </w:pPr>
      <w:r w:rsidRPr="009C0F08">
        <w:rPr>
          <w:rStyle w:val="FootnoteReference"/>
          <w:sz w:val="18"/>
          <w:szCs w:val="18"/>
        </w:rPr>
        <w:footnoteRef/>
      </w:r>
      <w:r w:rsidRPr="009C0F08">
        <w:rPr>
          <w:sz w:val="18"/>
          <w:szCs w:val="18"/>
        </w:rPr>
        <w:t xml:space="preserve"> Delegated Regulation of the Commission of 14 July 2016 in addition to Directive 2015/65/EU of the European Parliament and the Council relating to regulatory technical standards with respect to information and requirements for the granting of a </w:t>
      </w:r>
      <w:r>
        <w:rPr>
          <w:sz w:val="18"/>
          <w:szCs w:val="18"/>
        </w:rPr>
        <w:t>license</w:t>
      </w:r>
      <w:r w:rsidRPr="009C0F08">
        <w:rPr>
          <w:sz w:val="18"/>
          <w:szCs w:val="18"/>
        </w:rPr>
        <w:t xml:space="preserve"> to investment firms</w:t>
      </w:r>
      <w:r>
        <w:rPr>
          <w:sz w:val="18"/>
          <w:szCs w:val="18"/>
        </w:rPr>
        <w:t xml:space="preserve">. For applications on article 2:99a and b </w:t>
      </w:r>
      <w:proofErr w:type="spellStart"/>
      <w:r>
        <w:rPr>
          <w:sz w:val="18"/>
          <w:szCs w:val="18"/>
        </w:rPr>
        <w:t>Wft</w:t>
      </w:r>
      <w:proofErr w:type="spellEnd"/>
      <w:r>
        <w:rPr>
          <w:sz w:val="18"/>
          <w:szCs w:val="18"/>
        </w:rPr>
        <w:t>, article 41.0a of the Decree on Market Entry financial enterprises (</w:t>
      </w:r>
      <w:proofErr w:type="spellStart"/>
      <w:r>
        <w:rPr>
          <w:sz w:val="18"/>
          <w:szCs w:val="18"/>
        </w:rPr>
        <w:t>BMfo</w:t>
      </w:r>
      <w:proofErr w:type="spellEnd"/>
      <w:r>
        <w:rPr>
          <w:sz w:val="18"/>
          <w:szCs w:val="18"/>
        </w:rPr>
        <w:t>) determines that article 1, 2, 4 and 6 of this Delegated Regulation are applicable to these firms.</w:t>
      </w:r>
    </w:p>
  </w:footnote>
  <w:footnote w:id="4">
    <w:p w14:paraId="5BCDFF5D" w14:textId="77777777" w:rsidR="00470908" w:rsidRDefault="00470908">
      <w:pPr>
        <w:pStyle w:val="FootnoteText"/>
      </w:pPr>
      <w:r>
        <w:rPr>
          <w:rStyle w:val="FootnoteReference"/>
        </w:rPr>
        <w:footnoteRef/>
      </w:r>
      <w:r>
        <w:t xml:space="preserve"> We refer to Annex I to Directive 2014/65/EU for a full description of the investment services and activities as well as the financial instruments. </w:t>
      </w:r>
    </w:p>
  </w:footnote>
  <w:footnote w:id="5">
    <w:p w14:paraId="08CA6C1A" w14:textId="77777777" w:rsidR="00470908" w:rsidRDefault="00470908">
      <w:pPr>
        <w:pStyle w:val="FootnoteText"/>
      </w:pPr>
      <w:r>
        <w:rPr>
          <w:rStyle w:val="FootnoteReference"/>
        </w:rPr>
        <w:footnoteRef/>
      </w:r>
      <w:r>
        <w:t xml:space="preserve"> We refer to Annex I to Directive 2014/65 for a full description of the ancillary services as well as the financial instruments.</w:t>
      </w:r>
    </w:p>
  </w:footnote>
  <w:footnote w:id="6">
    <w:p w14:paraId="58A1E8B3" w14:textId="77777777" w:rsidR="001A1CE6" w:rsidRPr="001A1CE6" w:rsidRDefault="001A1CE6">
      <w:pPr>
        <w:pStyle w:val="FootnoteText"/>
      </w:pPr>
      <w:r>
        <w:rPr>
          <w:rStyle w:val="FootnoteReference"/>
        </w:rPr>
        <w:footnoteRef/>
      </w:r>
      <w:r>
        <w:t xml:space="preserve"> A copy of </w:t>
      </w:r>
      <w:r w:rsidRPr="001A1CE6">
        <w:t>the financial statements audited by an external auditor</w:t>
      </w:r>
      <w:r>
        <w:t xml:space="preserve"> for the last three years</w:t>
      </w:r>
      <w:r w:rsidR="0078423B">
        <w:t>.</w:t>
      </w:r>
    </w:p>
  </w:footnote>
  <w:footnote w:id="7">
    <w:p w14:paraId="56691143" w14:textId="45BCC352" w:rsidR="00470908" w:rsidRPr="00005FED" w:rsidRDefault="00470908" w:rsidP="00E12E2E">
      <w:pPr>
        <w:pStyle w:val="Default"/>
        <w:rPr>
          <w:rFonts w:ascii="Times New Roman" w:hAnsi="Times New Roman" w:cs="Times New Roman"/>
          <w:sz w:val="18"/>
          <w:szCs w:val="18"/>
        </w:rPr>
      </w:pPr>
      <w:r>
        <w:rPr>
          <w:rStyle w:val="FootnoteReference"/>
          <w:sz w:val="18"/>
          <w:szCs w:val="18"/>
        </w:rPr>
        <w:footnoteRef/>
      </w:r>
      <w:r>
        <w:t xml:space="preserve"> </w:t>
      </w:r>
      <w:r w:rsidRPr="0049458B">
        <w:rPr>
          <w:sz w:val="18"/>
          <w:szCs w:val="18"/>
        </w:rPr>
        <w:t xml:space="preserve">The Delegated Regulation </w:t>
      </w:r>
      <w:r w:rsidRPr="0049458B">
        <w:rPr>
          <w:rFonts w:ascii="Times New Roman" w:hAnsi="Times New Roman"/>
          <w:sz w:val="18"/>
          <w:szCs w:val="18"/>
        </w:rPr>
        <w:t xml:space="preserve">supplementing Directive 2014/65/EU of the European Parliament and the Council in relation to the safeguarding of financial instruments and funds belonging to clients, product governance obligations and the rules applicable to the </w:t>
      </w:r>
      <w:r w:rsidRPr="00005FED">
        <w:rPr>
          <w:rFonts w:ascii="Times New Roman" w:hAnsi="Times New Roman" w:cs="Times New Roman"/>
          <w:sz w:val="18"/>
          <w:szCs w:val="18"/>
        </w:rPr>
        <w:t>provision or reception of fees, commissions or any monetary or non-monetary benefits</w:t>
      </w:r>
      <w:r w:rsidR="007B3C63">
        <w:rPr>
          <w:rFonts w:ascii="Times New Roman" w:hAnsi="Times New Roman" w:cs="Times New Roman"/>
          <w:sz w:val="18"/>
          <w:szCs w:val="18"/>
        </w:rPr>
        <w:t>.</w:t>
      </w:r>
    </w:p>
  </w:footnote>
  <w:footnote w:id="8">
    <w:p w14:paraId="17C8294F" w14:textId="494FADC0" w:rsidR="00470908" w:rsidRPr="007C2672" w:rsidRDefault="00470908">
      <w:pPr>
        <w:pStyle w:val="FootnoteText"/>
        <w:rPr>
          <w:lang w:val="en-US"/>
        </w:rPr>
      </w:pPr>
      <w:r w:rsidRPr="007C2672">
        <w:rPr>
          <w:rStyle w:val="FootnoteReference"/>
          <w:rFonts w:ascii="Times New Roman" w:hAnsi="Times New Roman" w:cs="Times New Roman"/>
          <w:sz w:val="18"/>
          <w:szCs w:val="18"/>
        </w:rPr>
        <w:footnoteRef/>
      </w:r>
      <w:r w:rsidRPr="007C2672">
        <w:rPr>
          <w:rFonts w:ascii="Times New Roman" w:hAnsi="Times New Roman" w:cs="Times New Roman"/>
          <w:sz w:val="18"/>
          <w:szCs w:val="18"/>
        </w:rPr>
        <w:t xml:space="preserve"> </w:t>
      </w:r>
      <w:proofErr w:type="spellStart"/>
      <w:r w:rsidRPr="007C2672">
        <w:rPr>
          <w:rFonts w:ascii="Times New Roman" w:hAnsi="Times New Roman" w:cs="Times New Roman"/>
          <w:sz w:val="18"/>
          <w:szCs w:val="18"/>
          <w:lang w:val="en-US"/>
        </w:rPr>
        <w:t>BGfo</w:t>
      </w:r>
      <w:proofErr w:type="spellEnd"/>
      <w:r w:rsidRPr="007C2672">
        <w:rPr>
          <w:rFonts w:ascii="Times New Roman" w:hAnsi="Times New Roman" w:cs="Times New Roman"/>
          <w:sz w:val="18"/>
          <w:szCs w:val="18"/>
          <w:lang w:val="en-US"/>
        </w:rPr>
        <w:t xml:space="preserve"> is the Dutch Decree on conduct of business supervision</w:t>
      </w:r>
      <w:r w:rsidR="007B3C63">
        <w:rPr>
          <w:rFonts w:ascii="Times New Roman" w:hAnsi="Times New Roman" w:cs="Times New Roman"/>
          <w:sz w:val="18"/>
          <w:szCs w:val="18"/>
          <w:lang w:val="en-US"/>
        </w:rPr>
        <w:t>.</w:t>
      </w:r>
    </w:p>
  </w:footnote>
  <w:footnote w:id="9">
    <w:p w14:paraId="74E579BD" w14:textId="77777777" w:rsidR="00470908" w:rsidRPr="00A469AC" w:rsidRDefault="00470908">
      <w:pPr>
        <w:pStyle w:val="FootnoteText"/>
      </w:pPr>
      <w:r>
        <w:rPr>
          <w:rStyle w:val="FootnoteReference"/>
        </w:rPr>
        <w:footnoteRef/>
      </w:r>
      <w:r>
        <w:t xml:space="preserve"> </w:t>
      </w:r>
      <w:proofErr w:type="spellStart"/>
      <w:r>
        <w:t>NRGfo</w:t>
      </w:r>
      <w:proofErr w:type="spellEnd"/>
      <w:r>
        <w:t xml:space="preserve"> refers to the Dutch regulation on business conduct rules for financial enterprises.</w:t>
      </w:r>
    </w:p>
  </w:footnote>
  <w:footnote w:id="10">
    <w:p w14:paraId="227C30C9" w14:textId="77777777" w:rsidR="00470908" w:rsidRPr="00DD06FF" w:rsidRDefault="00470908" w:rsidP="00DD06FF">
      <w:pPr>
        <w:pStyle w:val="FootnoteText"/>
      </w:pPr>
      <w:r>
        <w:rPr>
          <w:rStyle w:val="FootnoteReference"/>
        </w:rPr>
        <w:footnoteRef/>
      </w:r>
      <w:r>
        <w:t xml:space="preserve"> Exemption Regulation for the </w:t>
      </w:r>
      <w:proofErr w:type="spellStart"/>
      <w:r>
        <w:t>Wft</w:t>
      </w:r>
      <w:proofErr w:type="spellEnd"/>
      <w:r>
        <w:t xml:space="preserve"> (</w:t>
      </w:r>
      <w:proofErr w:type="spellStart"/>
      <w:r>
        <w:t>Vrijstellingsregeling</w:t>
      </w:r>
      <w:proofErr w:type="spellEnd"/>
      <w:r>
        <w:t xml:space="preserve"> </w:t>
      </w:r>
      <w:proofErr w:type="spellStart"/>
      <w:r>
        <w:t>Wft</w:t>
      </w:r>
      <w:proofErr w:type="spellEnd"/>
      <w:r>
        <w:t>).</w:t>
      </w:r>
    </w:p>
  </w:footnote>
  <w:footnote w:id="11">
    <w:p w14:paraId="116862DE" w14:textId="77777777" w:rsidR="00470908" w:rsidRDefault="00470908">
      <w:pPr>
        <w:pStyle w:val="FootnoteText"/>
      </w:pPr>
      <w:r>
        <w:rPr>
          <w:rStyle w:val="FootnoteReference"/>
        </w:rPr>
        <w:footnoteRef/>
      </w:r>
      <w:r>
        <w:t xml:space="preserve"> At least one of the persons in charge of day-to-day policy must sign this application form for a license to operate an investment firm MiFID 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339147" w14:textId="0026646D" w:rsidR="00470908" w:rsidRDefault="00227C69" w:rsidP="00227C69">
    <w:pPr>
      <w:pStyle w:val="Header"/>
      <w:jc w:val="center"/>
    </w:pPr>
    <w:r>
      <w:rPr>
        <w:noProof/>
        <w:lang w:eastAsia="nl-NL"/>
      </w:rPr>
      <w:drawing>
        <wp:inline distT="0" distB="0" distL="0" distR="0" wp14:anchorId="4395A46E" wp14:editId="5ED1EFA5">
          <wp:extent cx="1950615" cy="503499"/>
          <wp:effectExtent l="0" t="0" r="0" b="0"/>
          <wp:docPr id="2007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09" name="Picture 1"/>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97620" cy="51563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6637E"/>
    <w:multiLevelType w:val="hybridMultilevel"/>
    <w:tmpl w:val="12FA7904"/>
    <w:lvl w:ilvl="0" w:tplc="04090007">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274A31"/>
    <w:multiLevelType w:val="hybridMultilevel"/>
    <w:tmpl w:val="0E3C6142"/>
    <w:lvl w:ilvl="0" w:tplc="04090007">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C37776"/>
    <w:multiLevelType w:val="hybridMultilevel"/>
    <w:tmpl w:val="52A0277A"/>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694973"/>
    <w:multiLevelType w:val="hybridMultilevel"/>
    <w:tmpl w:val="17522460"/>
    <w:lvl w:ilvl="0" w:tplc="04090007">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1F47F1D"/>
    <w:multiLevelType w:val="hybridMultilevel"/>
    <w:tmpl w:val="94A4BF2E"/>
    <w:lvl w:ilvl="0" w:tplc="04090007">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A543A51"/>
    <w:multiLevelType w:val="hybridMultilevel"/>
    <w:tmpl w:val="CED43528"/>
    <w:lvl w:ilvl="0" w:tplc="04090007">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B2E6A2C"/>
    <w:multiLevelType w:val="hybridMultilevel"/>
    <w:tmpl w:val="AEEADD62"/>
    <w:lvl w:ilvl="0" w:tplc="04090007">
      <w:start w:val="1"/>
      <w:numFmt w:val="bullet"/>
      <w:lvlText w:val=""/>
      <w:lvlJc w:val="left"/>
      <w:pPr>
        <w:ind w:left="766" w:hanging="360"/>
      </w:pPr>
      <w:rPr>
        <w:rFonts w:ascii="Wingdings" w:hAnsi="Wingdings" w:hint="default"/>
        <w:sz w:val="16"/>
      </w:rPr>
    </w:lvl>
    <w:lvl w:ilvl="1" w:tplc="04130003" w:tentative="1">
      <w:start w:val="1"/>
      <w:numFmt w:val="bullet"/>
      <w:lvlText w:val="o"/>
      <w:lvlJc w:val="left"/>
      <w:pPr>
        <w:ind w:left="1486" w:hanging="360"/>
      </w:pPr>
      <w:rPr>
        <w:rFonts w:ascii="Courier New" w:hAnsi="Courier New" w:cs="Courier New" w:hint="default"/>
      </w:rPr>
    </w:lvl>
    <w:lvl w:ilvl="2" w:tplc="04130005" w:tentative="1">
      <w:start w:val="1"/>
      <w:numFmt w:val="bullet"/>
      <w:lvlText w:val=""/>
      <w:lvlJc w:val="left"/>
      <w:pPr>
        <w:ind w:left="2206" w:hanging="360"/>
      </w:pPr>
      <w:rPr>
        <w:rFonts w:ascii="Wingdings" w:hAnsi="Wingdings" w:hint="default"/>
      </w:rPr>
    </w:lvl>
    <w:lvl w:ilvl="3" w:tplc="04130001" w:tentative="1">
      <w:start w:val="1"/>
      <w:numFmt w:val="bullet"/>
      <w:lvlText w:val=""/>
      <w:lvlJc w:val="left"/>
      <w:pPr>
        <w:ind w:left="2926" w:hanging="360"/>
      </w:pPr>
      <w:rPr>
        <w:rFonts w:ascii="Symbol" w:hAnsi="Symbol" w:hint="default"/>
      </w:rPr>
    </w:lvl>
    <w:lvl w:ilvl="4" w:tplc="04130003" w:tentative="1">
      <w:start w:val="1"/>
      <w:numFmt w:val="bullet"/>
      <w:lvlText w:val="o"/>
      <w:lvlJc w:val="left"/>
      <w:pPr>
        <w:ind w:left="3646" w:hanging="360"/>
      </w:pPr>
      <w:rPr>
        <w:rFonts w:ascii="Courier New" w:hAnsi="Courier New" w:cs="Courier New" w:hint="default"/>
      </w:rPr>
    </w:lvl>
    <w:lvl w:ilvl="5" w:tplc="04130005" w:tentative="1">
      <w:start w:val="1"/>
      <w:numFmt w:val="bullet"/>
      <w:lvlText w:val=""/>
      <w:lvlJc w:val="left"/>
      <w:pPr>
        <w:ind w:left="4366" w:hanging="360"/>
      </w:pPr>
      <w:rPr>
        <w:rFonts w:ascii="Wingdings" w:hAnsi="Wingdings" w:hint="default"/>
      </w:rPr>
    </w:lvl>
    <w:lvl w:ilvl="6" w:tplc="04130001" w:tentative="1">
      <w:start w:val="1"/>
      <w:numFmt w:val="bullet"/>
      <w:lvlText w:val=""/>
      <w:lvlJc w:val="left"/>
      <w:pPr>
        <w:ind w:left="5086" w:hanging="360"/>
      </w:pPr>
      <w:rPr>
        <w:rFonts w:ascii="Symbol" w:hAnsi="Symbol" w:hint="default"/>
      </w:rPr>
    </w:lvl>
    <w:lvl w:ilvl="7" w:tplc="04130003" w:tentative="1">
      <w:start w:val="1"/>
      <w:numFmt w:val="bullet"/>
      <w:lvlText w:val="o"/>
      <w:lvlJc w:val="left"/>
      <w:pPr>
        <w:ind w:left="5806" w:hanging="360"/>
      </w:pPr>
      <w:rPr>
        <w:rFonts w:ascii="Courier New" w:hAnsi="Courier New" w:cs="Courier New" w:hint="default"/>
      </w:rPr>
    </w:lvl>
    <w:lvl w:ilvl="8" w:tplc="04130005" w:tentative="1">
      <w:start w:val="1"/>
      <w:numFmt w:val="bullet"/>
      <w:lvlText w:val=""/>
      <w:lvlJc w:val="left"/>
      <w:pPr>
        <w:ind w:left="6526" w:hanging="360"/>
      </w:pPr>
      <w:rPr>
        <w:rFonts w:ascii="Wingdings" w:hAnsi="Wingdings" w:hint="default"/>
      </w:rPr>
    </w:lvl>
  </w:abstractNum>
  <w:abstractNum w:abstractNumId="7" w15:restartNumberingAfterBreak="0">
    <w:nsid w:val="1BD4544F"/>
    <w:multiLevelType w:val="hybridMultilevel"/>
    <w:tmpl w:val="04B85460"/>
    <w:lvl w:ilvl="0" w:tplc="2BD0542E">
      <w:start w:val="2"/>
      <w:numFmt w:val="bullet"/>
      <w:lvlText w:val="-"/>
      <w:lvlJc w:val="left"/>
      <w:pPr>
        <w:ind w:left="720" w:hanging="360"/>
      </w:pPr>
      <w:rPr>
        <w:rFonts w:ascii="Times New Roman" w:eastAsia="Times New Roman"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1E277D12"/>
    <w:multiLevelType w:val="hybridMultilevel"/>
    <w:tmpl w:val="F2C87C48"/>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1EA25FAF"/>
    <w:multiLevelType w:val="hybridMultilevel"/>
    <w:tmpl w:val="29F86168"/>
    <w:lvl w:ilvl="0" w:tplc="204A02A4">
      <w:start w:val="1"/>
      <w:numFmt w:val="bullet"/>
      <w:lvlText w:val="□"/>
      <w:lvlJc w:val="left"/>
      <w:pPr>
        <w:tabs>
          <w:tab w:val="num" w:pos="360"/>
        </w:tabs>
        <w:ind w:left="360" w:hanging="360"/>
      </w:pPr>
      <w:rPr>
        <w:rFonts w:ascii="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EE43EC3"/>
    <w:multiLevelType w:val="hybridMultilevel"/>
    <w:tmpl w:val="B0F07D3C"/>
    <w:lvl w:ilvl="0" w:tplc="04130001">
      <w:start w:val="1"/>
      <w:numFmt w:val="bullet"/>
      <w:lvlText w:val=""/>
      <w:lvlJc w:val="left"/>
      <w:pPr>
        <w:ind w:left="720" w:hanging="360"/>
      </w:pPr>
      <w:rPr>
        <w:rFonts w:ascii="Symbol" w:hAnsi="Symbol"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11560C9"/>
    <w:multiLevelType w:val="hybridMultilevel"/>
    <w:tmpl w:val="70B07484"/>
    <w:lvl w:ilvl="0" w:tplc="04090007">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138279F"/>
    <w:multiLevelType w:val="hybridMultilevel"/>
    <w:tmpl w:val="A85C422C"/>
    <w:lvl w:ilvl="0" w:tplc="846C960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2182C17"/>
    <w:multiLevelType w:val="hybridMultilevel"/>
    <w:tmpl w:val="20C45FC0"/>
    <w:lvl w:ilvl="0" w:tplc="0BFE80DC">
      <w:start w:val="2"/>
      <w:numFmt w:val="bullet"/>
      <w:lvlText w:val="-"/>
      <w:lvlJc w:val="left"/>
      <w:pPr>
        <w:ind w:left="720" w:hanging="360"/>
      </w:pPr>
      <w:rPr>
        <w:rFonts w:ascii="Times New Roman" w:eastAsia="Times New Roman"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27A93BF0"/>
    <w:multiLevelType w:val="hybridMultilevel"/>
    <w:tmpl w:val="523A0034"/>
    <w:lvl w:ilvl="0" w:tplc="04090007">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AC573CE"/>
    <w:multiLevelType w:val="hybridMultilevel"/>
    <w:tmpl w:val="7BFE4618"/>
    <w:lvl w:ilvl="0" w:tplc="04090007">
      <w:start w:val="1"/>
      <w:numFmt w:val="bullet"/>
      <w:lvlText w:val=""/>
      <w:lvlJc w:val="left"/>
      <w:pPr>
        <w:tabs>
          <w:tab w:val="num" w:pos="720"/>
        </w:tabs>
        <w:ind w:left="720" w:hanging="360"/>
      </w:pPr>
      <w:rPr>
        <w:rFonts w:ascii="Wingdings" w:hAnsi="Wingdings" w:hint="default"/>
        <w:sz w:val="16"/>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2BE22E65"/>
    <w:multiLevelType w:val="hybridMultilevel"/>
    <w:tmpl w:val="46F249AC"/>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2EEE1527"/>
    <w:multiLevelType w:val="hybridMultilevel"/>
    <w:tmpl w:val="7EAAC1CA"/>
    <w:lvl w:ilvl="0" w:tplc="204A02A4">
      <w:start w:val="1"/>
      <w:numFmt w:val="bullet"/>
      <w:lvlText w:val="□"/>
      <w:lvlJc w:val="left"/>
      <w:pPr>
        <w:tabs>
          <w:tab w:val="num" w:pos="927"/>
        </w:tabs>
        <w:ind w:left="927" w:hanging="360"/>
      </w:pPr>
      <w:rPr>
        <w:rFonts w:ascii="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Times New Roman" w:hint="default"/>
      </w:rPr>
    </w:lvl>
    <w:lvl w:ilvl="2" w:tplc="04090005">
      <w:start w:val="1"/>
      <w:numFmt w:val="bullet"/>
      <w:lvlText w:val=""/>
      <w:lvlJc w:val="left"/>
      <w:pPr>
        <w:tabs>
          <w:tab w:val="num" w:pos="2367"/>
        </w:tabs>
        <w:ind w:left="2367" w:hanging="360"/>
      </w:pPr>
      <w:rPr>
        <w:rFonts w:ascii="Wingdings" w:hAnsi="Wingdings" w:hint="default"/>
      </w:rPr>
    </w:lvl>
    <w:lvl w:ilvl="3" w:tplc="04090001">
      <w:start w:val="1"/>
      <w:numFmt w:val="bullet"/>
      <w:lvlText w:val=""/>
      <w:lvlJc w:val="left"/>
      <w:pPr>
        <w:tabs>
          <w:tab w:val="num" w:pos="3087"/>
        </w:tabs>
        <w:ind w:left="3087" w:hanging="360"/>
      </w:pPr>
      <w:rPr>
        <w:rFonts w:ascii="Symbol" w:hAnsi="Symbol" w:hint="default"/>
      </w:rPr>
    </w:lvl>
    <w:lvl w:ilvl="4" w:tplc="04090003">
      <w:start w:val="1"/>
      <w:numFmt w:val="bullet"/>
      <w:lvlText w:val="o"/>
      <w:lvlJc w:val="left"/>
      <w:pPr>
        <w:tabs>
          <w:tab w:val="num" w:pos="3807"/>
        </w:tabs>
        <w:ind w:left="3807" w:hanging="360"/>
      </w:pPr>
      <w:rPr>
        <w:rFonts w:ascii="Courier New" w:hAnsi="Courier New" w:cs="Times New Roman" w:hint="default"/>
      </w:rPr>
    </w:lvl>
    <w:lvl w:ilvl="5" w:tplc="04090005">
      <w:start w:val="1"/>
      <w:numFmt w:val="bullet"/>
      <w:lvlText w:val=""/>
      <w:lvlJc w:val="left"/>
      <w:pPr>
        <w:tabs>
          <w:tab w:val="num" w:pos="4527"/>
        </w:tabs>
        <w:ind w:left="4527" w:hanging="360"/>
      </w:pPr>
      <w:rPr>
        <w:rFonts w:ascii="Wingdings" w:hAnsi="Wingdings" w:hint="default"/>
      </w:rPr>
    </w:lvl>
    <w:lvl w:ilvl="6" w:tplc="04090001">
      <w:start w:val="1"/>
      <w:numFmt w:val="bullet"/>
      <w:lvlText w:val=""/>
      <w:lvlJc w:val="left"/>
      <w:pPr>
        <w:tabs>
          <w:tab w:val="num" w:pos="5247"/>
        </w:tabs>
        <w:ind w:left="5247" w:hanging="360"/>
      </w:pPr>
      <w:rPr>
        <w:rFonts w:ascii="Symbol" w:hAnsi="Symbol" w:hint="default"/>
      </w:rPr>
    </w:lvl>
    <w:lvl w:ilvl="7" w:tplc="04090003">
      <w:start w:val="1"/>
      <w:numFmt w:val="bullet"/>
      <w:lvlText w:val="o"/>
      <w:lvlJc w:val="left"/>
      <w:pPr>
        <w:tabs>
          <w:tab w:val="num" w:pos="5967"/>
        </w:tabs>
        <w:ind w:left="5967" w:hanging="360"/>
      </w:pPr>
      <w:rPr>
        <w:rFonts w:ascii="Courier New" w:hAnsi="Courier New" w:cs="Times New Roman" w:hint="default"/>
      </w:rPr>
    </w:lvl>
    <w:lvl w:ilvl="8" w:tplc="04090005">
      <w:start w:val="1"/>
      <w:numFmt w:val="bullet"/>
      <w:lvlText w:val=""/>
      <w:lvlJc w:val="left"/>
      <w:pPr>
        <w:tabs>
          <w:tab w:val="num" w:pos="6687"/>
        </w:tabs>
        <w:ind w:left="6687" w:hanging="360"/>
      </w:pPr>
      <w:rPr>
        <w:rFonts w:ascii="Wingdings" w:hAnsi="Wingdings" w:hint="default"/>
      </w:rPr>
    </w:lvl>
  </w:abstractNum>
  <w:abstractNum w:abstractNumId="18" w15:restartNumberingAfterBreak="0">
    <w:nsid w:val="30531B22"/>
    <w:multiLevelType w:val="hybridMultilevel"/>
    <w:tmpl w:val="4532E24E"/>
    <w:lvl w:ilvl="0" w:tplc="04090007">
      <w:start w:val="1"/>
      <w:numFmt w:val="bullet"/>
      <w:lvlText w:val=""/>
      <w:lvlJc w:val="left"/>
      <w:pPr>
        <w:ind w:left="766" w:hanging="360"/>
      </w:pPr>
      <w:rPr>
        <w:rFonts w:ascii="Wingdings" w:hAnsi="Wingdings" w:hint="default"/>
        <w:sz w:val="16"/>
      </w:rPr>
    </w:lvl>
    <w:lvl w:ilvl="1" w:tplc="04130003" w:tentative="1">
      <w:start w:val="1"/>
      <w:numFmt w:val="bullet"/>
      <w:lvlText w:val="o"/>
      <w:lvlJc w:val="left"/>
      <w:pPr>
        <w:ind w:left="1486" w:hanging="360"/>
      </w:pPr>
      <w:rPr>
        <w:rFonts w:ascii="Courier New" w:hAnsi="Courier New" w:cs="Courier New" w:hint="default"/>
      </w:rPr>
    </w:lvl>
    <w:lvl w:ilvl="2" w:tplc="04130005" w:tentative="1">
      <w:start w:val="1"/>
      <w:numFmt w:val="bullet"/>
      <w:lvlText w:val=""/>
      <w:lvlJc w:val="left"/>
      <w:pPr>
        <w:ind w:left="2206" w:hanging="360"/>
      </w:pPr>
      <w:rPr>
        <w:rFonts w:ascii="Wingdings" w:hAnsi="Wingdings" w:hint="default"/>
      </w:rPr>
    </w:lvl>
    <w:lvl w:ilvl="3" w:tplc="04130001" w:tentative="1">
      <w:start w:val="1"/>
      <w:numFmt w:val="bullet"/>
      <w:lvlText w:val=""/>
      <w:lvlJc w:val="left"/>
      <w:pPr>
        <w:ind w:left="2926" w:hanging="360"/>
      </w:pPr>
      <w:rPr>
        <w:rFonts w:ascii="Symbol" w:hAnsi="Symbol" w:hint="default"/>
      </w:rPr>
    </w:lvl>
    <w:lvl w:ilvl="4" w:tplc="04130003" w:tentative="1">
      <w:start w:val="1"/>
      <w:numFmt w:val="bullet"/>
      <w:lvlText w:val="o"/>
      <w:lvlJc w:val="left"/>
      <w:pPr>
        <w:ind w:left="3646" w:hanging="360"/>
      </w:pPr>
      <w:rPr>
        <w:rFonts w:ascii="Courier New" w:hAnsi="Courier New" w:cs="Courier New" w:hint="default"/>
      </w:rPr>
    </w:lvl>
    <w:lvl w:ilvl="5" w:tplc="04130005" w:tentative="1">
      <w:start w:val="1"/>
      <w:numFmt w:val="bullet"/>
      <w:lvlText w:val=""/>
      <w:lvlJc w:val="left"/>
      <w:pPr>
        <w:ind w:left="4366" w:hanging="360"/>
      </w:pPr>
      <w:rPr>
        <w:rFonts w:ascii="Wingdings" w:hAnsi="Wingdings" w:hint="default"/>
      </w:rPr>
    </w:lvl>
    <w:lvl w:ilvl="6" w:tplc="04130001" w:tentative="1">
      <w:start w:val="1"/>
      <w:numFmt w:val="bullet"/>
      <w:lvlText w:val=""/>
      <w:lvlJc w:val="left"/>
      <w:pPr>
        <w:ind w:left="5086" w:hanging="360"/>
      </w:pPr>
      <w:rPr>
        <w:rFonts w:ascii="Symbol" w:hAnsi="Symbol" w:hint="default"/>
      </w:rPr>
    </w:lvl>
    <w:lvl w:ilvl="7" w:tplc="04130003" w:tentative="1">
      <w:start w:val="1"/>
      <w:numFmt w:val="bullet"/>
      <w:lvlText w:val="o"/>
      <w:lvlJc w:val="left"/>
      <w:pPr>
        <w:ind w:left="5806" w:hanging="360"/>
      </w:pPr>
      <w:rPr>
        <w:rFonts w:ascii="Courier New" w:hAnsi="Courier New" w:cs="Courier New" w:hint="default"/>
      </w:rPr>
    </w:lvl>
    <w:lvl w:ilvl="8" w:tplc="04130005" w:tentative="1">
      <w:start w:val="1"/>
      <w:numFmt w:val="bullet"/>
      <w:lvlText w:val=""/>
      <w:lvlJc w:val="left"/>
      <w:pPr>
        <w:ind w:left="6526" w:hanging="360"/>
      </w:pPr>
      <w:rPr>
        <w:rFonts w:ascii="Wingdings" w:hAnsi="Wingdings" w:hint="default"/>
      </w:rPr>
    </w:lvl>
  </w:abstractNum>
  <w:abstractNum w:abstractNumId="19" w15:restartNumberingAfterBreak="0">
    <w:nsid w:val="334063BA"/>
    <w:multiLevelType w:val="hybridMultilevel"/>
    <w:tmpl w:val="1F5C5788"/>
    <w:lvl w:ilvl="0" w:tplc="5038062A">
      <w:start w:val="1"/>
      <w:numFmt w:val="decimal"/>
      <w:lvlText w:val="%1."/>
      <w:lvlJc w:val="left"/>
      <w:pPr>
        <w:ind w:left="284" w:hanging="284"/>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56F1F34"/>
    <w:multiLevelType w:val="hybridMultilevel"/>
    <w:tmpl w:val="7DA245D6"/>
    <w:lvl w:ilvl="0" w:tplc="55BA12F4">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9DB4B00"/>
    <w:multiLevelType w:val="hybridMultilevel"/>
    <w:tmpl w:val="0F70A48E"/>
    <w:lvl w:ilvl="0" w:tplc="04090007">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FA26CCB"/>
    <w:multiLevelType w:val="hybridMultilevel"/>
    <w:tmpl w:val="A5E26EFA"/>
    <w:lvl w:ilvl="0" w:tplc="37B6BEA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91F62DF"/>
    <w:multiLevelType w:val="hybridMultilevel"/>
    <w:tmpl w:val="8ED89C86"/>
    <w:lvl w:ilvl="0" w:tplc="204A02A4">
      <w:start w:val="1"/>
      <w:numFmt w:val="bullet"/>
      <w:lvlText w:val="□"/>
      <w:lvlJc w:val="left"/>
      <w:pPr>
        <w:tabs>
          <w:tab w:val="num" w:pos="360"/>
        </w:tabs>
        <w:ind w:left="360" w:hanging="360"/>
      </w:pPr>
      <w:rPr>
        <w:rFonts w:ascii="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9FE6998"/>
    <w:multiLevelType w:val="hybridMultilevel"/>
    <w:tmpl w:val="AE2C49D2"/>
    <w:lvl w:ilvl="0" w:tplc="A3B00100">
      <w:start w:val="1017"/>
      <w:numFmt w:val="bullet"/>
      <w:lvlText w:val="-"/>
      <w:lvlJc w:val="left"/>
      <w:pPr>
        <w:ind w:left="360" w:hanging="360"/>
      </w:pPr>
      <w:rPr>
        <w:rFonts w:ascii="Calibri" w:eastAsiaTheme="minorHAnsi" w:hAnsi="Calibri"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4FAD6F84"/>
    <w:multiLevelType w:val="hybridMultilevel"/>
    <w:tmpl w:val="C304231C"/>
    <w:lvl w:ilvl="0" w:tplc="04090007">
      <w:start w:val="1"/>
      <w:numFmt w:val="bullet"/>
      <w:lvlText w:val=""/>
      <w:lvlJc w:val="left"/>
      <w:pPr>
        <w:ind w:left="766" w:hanging="360"/>
      </w:pPr>
      <w:rPr>
        <w:rFonts w:ascii="Wingdings" w:hAnsi="Wingdings" w:hint="default"/>
        <w:sz w:val="16"/>
      </w:rPr>
    </w:lvl>
    <w:lvl w:ilvl="1" w:tplc="04130003" w:tentative="1">
      <w:start w:val="1"/>
      <w:numFmt w:val="bullet"/>
      <w:lvlText w:val="o"/>
      <w:lvlJc w:val="left"/>
      <w:pPr>
        <w:ind w:left="1486" w:hanging="360"/>
      </w:pPr>
      <w:rPr>
        <w:rFonts w:ascii="Courier New" w:hAnsi="Courier New" w:cs="Courier New" w:hint="default"/>
      </w:rPr>
    </w:lvl>
    <w:lvl w:ilvl="2" w:tplc="04130005" w:tentative="1">
      <w:start w:val="1"/>
      <w:numFmt w:val="bullet"/>
      <w:lvlText w:val=""/>
      <w:lvlJc w:val="left"/>
      <w:pPr>
        <w:ind w:left="2206" w:hanging="360"/>
      </w:pPr>
      <w:rPr>
        <w:rFonts w:ascii="Wingdings" w:hAnsi="Wingdings" w:hint="default"/>
      </w:rPr>
    </w:lvl>
    <w:lvl w:ilvl="3" w:tplc="04130001" w:tentative="1">
      <w:start w:val="1"/>
      <w:numFmt w:val="bullet"/>
      <w:lvlText w:val=""/>
      <w:lvlJc w:val="left"/>
      <w:pPr>
        <w:ind w:left="2926" w:hanging="360"/>
      </w:pPr>
      <w:rPr>
        <w:rFonts w:ascii="Symbol" w:hAnsi="Symbol" w:hint="default"/>
      </w:rPr>
    </w:lvl>
    <w:lvl w:ilvl="4" w:tplc="04130003" w:tentative="1">
      <w:start w:val="1"/>
      <w:numFmt w:val="bullet"/>
      <w:lvlText w:val="o"/>
      <w:lvlJc w:val="left"/>
      <w:pPr>
        <w:ind w:left="3646" w:hanging="360"/>
      </w:pPr>
      <w:rPr>
        <w:rFonts w:ascii="Courier New" w:hAnsi="Courier New" w:cs="Courier New" w:hint="default"/>
      </w:rPr>
    </w:lvl>
    <w:lvl w:ilvl="5" w:tplc="04130005" w:tentative="1">
      <w:start w:val="1"/>
      <w:numFmt w:val="bullet"/>
      <w:lvlText w:val=""/>
      <w:lvlJc w:val="left"/>
      <w:pPr>
        <w:ind w:left="4366" w:hanging="360"/>
      </w:pPr>
      <w:rPr>
        <w:rFonts w:ascii="Wingdings" w:hAnsi="Wingdings" w:hint="default"/>
      </w:rPr>
    </w:lvl>
    <w:lvl w:ilvl="6" w:tplc="04130001" w:tentative="1">
      <w:start w:val="1"/>
      <w:numFmt w:val="bullet"/>
      <w:lvlText w:val=""/>
      <w:lvlJc w:val="left"/>
      <w:pPr>
        <w:ind w:left="5086" w:hanging="360"/>
      </w:pPr>
      <w:rPr>
        <w:rFonts w:ascii="Symbol" w:hAnsi="Symbol" w:hint="default"/>
      </w:rPr>
    </w:lvl>
    <w:lvl w:ilvl="7" w:tplc="04130003" w:tentative="1">
      <w:start w:val="1"/>
      <w:numFmt w:val="bullet"/>
      <w:lvlText w:val="o"/>
      <w:lvlJc w:val="left"/>
      <w:pPr>
        <w:ind w:left="5806" w:hanging="360"/>
      </w:pPr>
      <w:rPr>
        <w:rFonts w:ascii="Courier New" w:hAnsi="Courier New" w:cs="Courier New" w:hint="default"/>
      </w:rPr>
    </w:lvl>
    <w:lvl w:ilvl="8" w:tplc="04130005" w:tentative="1">
      <w:start w:val="1"/>
      <w:numFmt w:val="bullet"/>
      <w:lvlText w:val=""/>
      <w:lvlJc w:val="left"/>
      <w:pPr>
        <w:ind w:left="6526" w:hanging="360"/>
      </w:pPr>
      <w:rPr>
        <w:rFonts w:ascii="Wingdings" w:hAnsi="Wingdings" w:hint="default"/>
      </w:rPr>
    </w:lvl>
  </w:abstractNum>
  <w:abstractNum w:abstractNumId="26" w15:restartNumberingAfterBreak="0">
    <w:nsid w:val="4FF82540"/>
    <w:multiLevelType w:val="hybridMultilevel"/>
    <w:tmpl w:val="9186268A"/>
    <w:lvl w:ilvl="0" w:tplc="04090007">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3F36B1E"/>
    <w:multiLevelType w:val="hybridMultilevel"/>
    <w:tmpl w:val="43B27CD0"/>
    <w:lvl w:ilvl="0" w:tplc="04090007">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40A3C41"/>
    <w:multiLevelType w:val="hybridMultilevel"/>
    <w:tmpl w:val="84DA3DF4"/>
    <w:lvl w:ilvl="0" w:tplc="04090007">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7A87F5D"/>
    <w:multiLevelType w:val="hybridMultilevel"/>
    <w:tmpl w:val="E27AE512"/>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5CD21DD4"/>
    <w:multiLevelType w:val="hybridMultilevel"/>
    <w:tmpl w:val="EADC9690"/>
    <w:lvl w:ilvl="0" w:tplc="0F6612D6">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E88528A"/>
    <w:multiLevelType w:val="hybridMultilevel"/>
    <w:tmpl w:val="9232F73E"/>
    <w:lvl w:ilvl="0" w:tplc="D44CF5E4">
      <w:start w:val="8"/>
      <w:numFmt w:val="decimal"/>
      <w:lvlText w:val="%1."/>
      <w:lvlJc w:val="left"/>
      <w:pPr>
        <w:ind w:left="284" w:hanging="284"/>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1DB6609"/>
    <w:multiLevelType w:val="hybridMultilevel"/>
    <w:tmpl w:val="88DCCD04"/>
    <w:lvl w:ilvl="0" w:tplc="04090007">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6D67B77"/>
    <w:multiLevelType w:val="hybridMultilevel"/>
    <w:tmpl w:val="ADE2290E"/>
    <w:lvl w:ilvl="0" w:tplc="04090007">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A087727"/>
    <w:multiLevelType w:val="hybridMultilevel"/>
    <w:tmpl w:val="0658CF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8291E46"/>
    <w:multiLevelType w:val="hybridMultilevel"/>
    <w:tmpl w:val="46D03020"/>
    <w:lvl w:ilvl="0" w:tplc="04090007">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BD44A53"/>
    <w:multiLevelType w:val="hybridMultilevel"/>
    <w:tmpl w:val="33F23A8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7" w15:restartNumberingAfterBreak="0">
    <w:nsid w:val="7D533370"/>
    <w:multiLevelType w:val="hybridMultilevel"/>
    <w:tmpl w:val="28F83A7E"/>
    <w:lvl w:ilvl="0" w:tplc="04090007">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D684098"/>
    <w:multiLevelType w:val="hybridMultilevel"/>
    <w:tmpl w:val="790654DC"/>
    <w:lvl w:ilvl="0" w:tplc="04090007">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7"/>
  </w:num>
  <w:num w:numId="6">
    <w:abstractNumId w:val="23"/>
  </w:num>
  <w:num w:numId="7">
    <w:abstractNumId w:val="13"/>
  </w:num>
  <w:num w:numId="8">
    <w:abstractNumId w:val="7"/>
  </w:num>
  <w:num w:numId="9">
    <w:abstractNumId w:val="26"/>
  </w:num>
  <w:num w:numId="10">
    <w:abstractNumId w:val="37"/>
  </w:num>
  <w:num w:numId="11">
    <w:abstractNumId w:val="14"/>
  </w:num>
  <w:num w:numId="12">
    <w:abstractNumId w:val="25"/>
  </w:num>
  <w:num w:numId="13">
    <w:abstractNumId w:val="19"/>
  </w:num>
  <w:num w:numId="14">
    <w:abstractNumId w:val="32"/>
  </w:num>
  <w:num w:numId="15">
    <w:abstractNumId w:val="18"/>
  </w:num>
  <w:num w:numId="16">
    <w:abstractNumId w:val="33"/>
  </w:num>
  <w:num w:numId="17">
    <w:abstractNumId w:val="6"/>
  </w:num>
  <w:num w:numId="18">
    <w:abstractNumId w:val="0"/>
  </w:num>
  <w:num w:numId="19">
    <w:abstractNumId w:val="38"/>
  </w:num>
  <w:num w:numId="20">
    <w:abstractNumId w:val="4"/>
  </w:num>
  <w:num w:numId="21">
    <w:abstractNumId w:val="16"/>
  </w:num>
  <w:num w:numId="22">
    <w:abstractNumId w:val="29"/>
  </w:num>
  <w:num w:numId="23">
    <w:abstractNumId w:val="8"/>
  </w:num>
  <w:num w:numId="24">
    <w:abstractNumId w:val="28"/>
  </w:num>
  <w:num w:numId="25">
    <w:abstractNumId w:val="3"/>
  </w:num>
  <w:num w:numId="26">
    <w:abstractNumId w:val="11"/>
  </w:num>
  <w:num w:numId="27">
    <w:abstractNumId w:val="27"/>
  </w:num>
  <w:num w:numId="28">
    <w:abstractNumId w:val="35"/>
  </w:num>
  <w:num w:numId="29">
    <w:abstractNumId w:val="21"/>
  </w:num>
  <w:num w:numId="30">
    <w:abstractNumId w:val="31"/>
  </w:num>
  <w:num w:numId="31">
    <w:abstractNumId w:val="34"/>
  </w:num>
  <w:num w:numId="32">
    <w:abstractNumId w:val="1"/>
  </w:num>
  <w:num w:numId="33">
    <w:abstractNumId w:val="24"/>
  </w:num>
  <w:num w:numId="34">
    <w:abstractNumId w:val="22"/>
  </w:num>
  <w:num w:numId="35">
    <w:abstractNumId w:val="5"/>
  </w:num>
  <w:num w:numId="36">
    <w:abstractNumId w:val="10"/>
  </w:num>
  <w:num w:numId="37">
    <w:abstractNumId w:val="12"/>
  </w:num>
  <w:num w:numId="38">
    <w:abstractNumId w:val="20"/>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ED1"/>
    <w:rsid w:val="00005FED"/>
    <w:rsid w:val="00024F93"/>
    <w:rsid w:val="000456AE"/>
    <w:rsid w:val="00052DD6"/>
    <w:rsid w:val="00062B57"/>
    <w:rsid w:val="00066163"/>
    <w:rsid w:val="00066B21"/>
    <w:rsid w:val="00073247"/>
    <w:rsid w:val="00073CBE"/>
    <w:rsid w:val="00081ED5"/>
    <w:rsid w:val="0008566C"/>
    <w:rsid w:val="0009344C"/>
    <w:rsid w:val="00094BA5"/>
    <w:rsid w:val="000A2F31"/>
    <w:rsid w:val="000A326E"/>
    <w:rsid w:val="000A3E55"/>
    <w:rsid w:val="000B3FFF"/>
    <w:rsid w:val="000B785A"/>
    <w:rsid w:val="000B78A6"/>
    <w:rsid w:val="000D3824"/>
    <w:rsid w:val="000E2CFF"/>
    <w:rsid w:val="000E76DA"/>
    <w:rsid w:val="00103FC0"/>
    <w:rsid w:val="00105658"/>
    <w:rsid w:val="00110E5D"/>
    <w:rsid w:val="001115EB"/>
    <w:rsid w:val="00124DD2"/>
    <w:rsid w:val="00130674"/>
    <w:rsid w:val="0014021C"/>
    <w:rsid w:val="00162AA1"/>
    <w:rsid w:val="00164702"/>
    <w:rsid w:val="001946E6"/>
    <w:rsid w:val="001A1CE6"/>
    <w:rsid w:val="001A4761"/>
    <w:rsid w:val="001A7792"/>
    <w:rsid w:val="001B32D6"/>
    <w:rsid w:val="001B480D"/>
    <w:rsid w:val="001C5A62"/>
    <w:rsid w:val="001D6BCF"/>
    <w:rsid w:val="001E148E"/>
    <w:rsid w:val="001F5643"/>
    <w:rsid w:val="001F65CC"/>
    <w:rsid w:val="002045B2"/>
    <w:rsid w:val="00215E47"/>
    <w:rsid w:val="00226BFC"/>
    <w:rsid w:val="00227C69"/>
    <w:rsid w:val="00241557"/>
    <w:rsid w:val="002427A3"/>
    <w:rsid w:val="00247207"/>
    <w:rsid w:val="002523B5"/>
    <w:rsid w:val="00265FDF"/>
    <w:rsid w:val="00274CEA"/>
    <w:rsid w:val="002767D8"/>
    <w:rsid w:val="00284A63"/>
    <w:rsid w:val="002936FA"/>
    <w:rsid w:val="00296F24"/>
    <w:rsid w:val="002C5F33"/>
    <w:rsid w:val="002D168E"/>
    <w:rsid w:val="002D4BD8"/>
    <w:rsid w:val="002E1603"/>
    <w:rsid w:val="002E3065"/>
    <w:rsid w:val="002E5CB7"/>
    <w:rsid w:val="002E5DE7"/>
    <w:rsid w:val="002E6C8E"/>
    <w:rsid w:val="002F0696"/>
    <w:rsid w:val="002F40A5"/>
    <w:rsid w:val="003167BE"/>
    <w:rsid w:val="003251A7"/>
    <w:rsid w:val="00327FCE"/>
    <w:rsid w:val="00333AD1"/>
    <w:rsid w:val="0033547D"/>
    <w:rsid w:val="003371D7"/>
    <w:rsid w:val="00350036"/>
    <w:rsid w:val="00363C71"/>
    <w:rsid w:val="00363ED6"/>
    <w:rsid w:val="00366F47"/>
    <w:rsid w:val="00374246"/>
    <w:rsid w:val="00374C1D"/>
    <w:rsid w:val="003771F8"/>
    <w:rsid w:val="0039737A"/>
    <w:rsid w:val="003C6B2D"/>
    <w:rsid w:val="003C7434"/>
    <w:rsid w:val="003D1A8E"/>
    <w:rsid w:val="003D65CB"/>
    <w:rsid w:val="003E2740"/>
    <w:rsid w:val="003F3E13"/>
    <w:rsid w:val="003F7FBF"/>
    <w:rsid w:val="004029A5"/>
    <w:rsid w:val="00411414"/>
    <w:rsid w:val="00413D42"/>
    <w:rsid w:val="00426AC7"/>
    <w:rsid w:val="004337F3"/>
    <w:rsid w:val="004365D1"/>
    <w:rsid w:val="00441913"/>
    <w:rsid w:val="00442C8A"/>
    <w:rsid w:val="00451E6F"/>
    <w:rsid w:val="00455013"/>
    <w:rsid w:val="0047063D"/>
    <w:rsid w:val="00470908"/>
    <w:rsid w:val="00483CC8"/>
    <w:rsid w:val="004853DA"/>
    <w:rsid w:val="00491516"/>
    <w:rsid w:val="0049458B"/>
    <w:rsid w:val="00497835"/>
    <w:rsid w:val="004A2432"/>
    <w:rsid w:val="004A418A"/>
    <w:rsid w:val="004A6043"/>
    <w:rsid w:val="004C243B"/>
    <w:rsid w:val="004D66CA"/>
    <w:rsid w:val="004D777D"/>
    <w:rsid w:val="004E48EC"/>
    <w:rsid w:val="004F1A43"/>
    <w:rsid w:val="004F2339"/>
    <w:rsid w:val="004F3512"/>
    <w:rsid w:val="004F75D3"/>
    <w:rsid w:val="00503496"/>
    <w:rsid w:val="005075B4"/>
    <w:rsid w:val="00521EA6"/>
    <w:rsid w:val="005257D9"/>
    <w:rsid w:val="00527ACD"/>
    <w:rsid w:val="0053251E"/>
    <w:rsid w:val="00534E43"/>
    <w:rsid w:val="005367DE"/>
    <w:rsid w:val="00546A12"/>
    <w:rsid w:val="00546B66"/>
    <w:rsid w:val="00550F27"/>
    <w:rsid w:val="005566F0"/>
    <w:rsid w:val="0056078B"/>
    <w:rsid w:val="005911AA"/>
    <w:rsid w:val="00593F17"/>
    <w:rsid w:val="005A4BB6"/>
    <w:rsid w:val="005A54BD"/>
    <w:rsid w:val="005C2202"/>
    <w:rsid w:val="005F0256"/>
    <w:rsid w:val="005F71EE"/>
    <w:rsid w:val="00604A5F"/>
    <w:rsid w:val="00605F49"/>
    <w:rsid w:val="00617E71"/>
    <w:rsid w:val="00621DA0"/>
    <w:rsid w:val="006258EC"/>
    <w:rsid w:val="00646F67"/>
    <w:rsid w:val="00651BCA"/>
    <w:rsid w:val="00652100"/>
    <w:rsid w:val="00660A45"/>
    <w:rsid w:val="0067084A"/>
    <w:rsid w:val="006750CD"/>
    <w:rsid w:val="006751B6"/>
    <w:rsid w:val="00675973"/>
    <w:rsid w:val="00682E99"/>
    <w:rsid w:val="00684345"/>
    <w:rsid w:val="00696866"/>
    <w:rsid w:val="006A5212"/>
    <w:rsid w:val="006A544D"/>
    <w:rsid w:val="006A6634"/>
    <w:rsid w:val="006B72AD"/>
    <w:rsid w:val="006C4891"/>
    <w:rsid w:val="006D0DF4"/>
    <w:rsid w:val="006E6477"/>
    <w:rsid w:val="00704D10"/>
    <w:rsid w:val="00706CA0"/>
    <w:rsid w:val="00733077"/>
    <w:rsid w:val="007350A6"/>
    <w:rsid w:val="0074357E"/>
    <w:rsid w:val="0074750F"/>
    <w:rsid w:val="00756D18"/>
    <w:rsid w:val="00757293"/>
    <w:rsid w:val="00761A9A"/>
    <w:rsid w:val="00773F2F"/>
    <w:rsid w:val="007751F3"/>
    <w:rsid w:val="007827AB"/>
    <w:rsid w:val="0078423B"/>
    <w:rsid w:val="007A13A9"/>
    <w:rsid w:val="007B133C"/>
    <w:rsid w:val="007B3C63"/>
    <w:rsid w:val="007B44FA"/>
    <w:rsid w:val="007B5958"/>
    <w:rsid w:val="007B7500"/>
    <w:rsid w:val="007C2672"/>
    <w:rsid w:val="007C549D"/>
    <w:rsid w:val="007C6CC0"/>
    <w:rsid w:val="007C781D"/>
    <w:rsid w:val="007D5E94"/>
    <w:rsid w:val="007E2DD5"/>
    <w:rsid w:val="007F5956"/>
    <w:rsid w:val="007F7A5C"/>
    <w:rsid w:val="00803FB9"/>
    <w:rsid w:val="00815B49"/>
    <w:rsid w:val="0082425B"/>
    <w:rsid w:val="0082624D"/>
    <w:rsid w:val="00831CFB"/>
    <w:rsid w:val="00847F34"/>
    <w:rsid w:val="00857200"/>
    <w:rsid w:val="00867253"/>
    <w:rsid w:val="00892726"/>
    <w:rsid w:val="00895E9C"/>
    <w:rsid w:val="00896E16"/>
    <w:rsid w:val="008A08E5"/>
    <w:rsid w:val="008A1FE3"/>
    <w:rsid w:val="008A30E7"/>
    <w:rsid w:val="008B059C"/>
    <w:rsid w:val="008B20AB"/>
    <w:rsid w:val="008B3672"/>
    <w:rsid w:val="008D28AD"/>
    <w:rsid w:val="0090646F"/>
    <w:rsid w:val="00910F7A"/>
    <w:rsid w:val="00911CA2"/>
    <w:rsid w:val="009208D2"/>
    <w:rsid w:val="00922D9E"/>
    <w:rsid w:val="00923405"/>
    <w:rsid w:val="009236BB"/>
    <w:rsid w:val="009535C3"/>
    <w:rsid w:val="00954A48"/>
    <w:rsid w:val="00956174"/>
    <w:rsid w:val="00960422"/>
    <w:rsid w:val="00964607"/>
    <w:rsid w:val="00966BB5"/>
    <w:rsid w:val="00971B82"/>
    <w:rsid w:val="00976070"/>
    <w:rsid w:val="009767CD"/>
    <w:rsid w:val="00984544"/>
    <w:rsid w:val="00997128"/>
    <w:rsid w:val="009A701C"/>
    <w:rsid w:val="009B04C9"/>
    <w:rsid w:val="009B053C"/>
    <w:rsid w:val="009B320D"/>
    <w:rsid w:val="009B541E"/>
    <w:rsid w:val="009B700F"/>
    <w:rsid w:val="009B7AD8"/>
    <w:rsid w:val="009C0624"/>
    <w:rsid w:val="009C0F08"/>
    <w:rsid w:val="009C32CE"/>
    <w:rsid w:val="009C424D"/>
    <w:rsid w:val="009D5D64"/>
    <w:rsid w:val="009E658B"/>
    <w:rsid w:val="009E74AE"/>
    <w:rsid w:val="009F3B71"/>
    <w:rsid w:val="009F54B2"/>
    <w:rsid w:val="00A01795"/>
    <w:rsid w:val="00A020DF"/>
    <w:rsid w:val="00A02DD5"/>
    <w:rsid w:val="00A1557B"/>
    <w:rsid w:val="00A42537"/>
    <w:rsid w:val="00A42827"/>
    <w:rsid w:val="00A43D75"/>
    <w:rsid w:val="00A469AC"/>
    <w:rsid w:val="00A52CE9"/>
    <w:rsid w:val="00A90C9E"/>
    <w:rsid w:val="00A93DF5"/>
    <w:rsid w:val="00AB24E9"/>
    <w:rsid w:val="00AC0177"/>
    <w:rsid w:val="00AC0A93"/>
    <w:rsid w:val="00AC4BE3"/>
    <w:rsid w:val="00AC7447"/>
    <w:rsid w:val="00AD2BB1"/>
    <w:rsid w:val="00AE0C7E"/>
    <w:rsid w:val="00AE16C5"/>
    <w:rsid w:val="00AE1EEC"/>
    <w:rsid w:val="00AF23EC"/>
    <w:rsid w:val="00AF66A2"/>
    <w:rsid w:val="00AF780A"/>
    <w:rsid w:val="00B14965"/>
    <w:rsid w:val="00B14C68"/>
    <w:rsid w:val="00B207C5"/>
    <w:rsid w:val="00B5593C"/>
    <w:rsid w:val="00B70005"/>
    <w:rsid w:val="00B74468"/>
    <w:rsid w:val="00B83625"/>
    <w:rsid w:val="00B83B0E"/>
    <w:rsid w:val="00B8535C"/>
    <w:rsid w:val="00BA6964"/>
    <w:rsid w:val="00BB6272"/>
    <w:rsid w:val="00BC1F8D"/>
    <w:rsid w:val="00BC6598"/>
    <w:rsid w:val="00BD675F"/>
    <w:rsid w:val="00BE557A"/>
    <w:rsid w:val="00C053FA"/>
    <w:rsid w:val="00C07596"/>
    <w:rsid w:val="00C15A9D"/>
    <w:rsid w:val="00C20431"/>
    <w:rsid w:val="00C22943"/>
    <w:rsid w:val="00C22E6E"/>
    <w:rsid w:val="00C24940"/>
    <w:rsid w:val="00C31637"/>
    <w:rsid w:val="00C37231"/>
    <w:rsid w:val="00C56FD3"/>
    <w:rsid w:val="00C60D58"/>
    <w:rsid w:val="00C6146E"/>
    <w:rsid w:val="00C66398"/>
    <w:rsid w:val="00C71A66"/>
    <w:rsid w:val="00C72BE4"/>
    <w:rsid w:val="00C8507F"/>
    <w:rsid w:val="00C91370"/>
    <w:rsid w:val="00CB2E2D"/>
    <w:rsid w:val="00CC4047"/>
    <w:rsid w:val="00CC651D"/>
    <w:rsid w:val="00CD3E25"/>
    <w:rsid w:val="00CD7120"/>
    <w:rsid w:val="00CE5C0C"/>
    <w:rsid w:val="00CE6D28"/>
    <w:rsid w:val="00D00240"/>
    <w:rsid w:val="00D378C6"/>
    <w:rsid w:val="00D43A58"/>
    <w:rsid w:val="00D539D7"/>
    <w:rsid w:val="00D54ABB"/>
    <w:rsid w:val="00D57ED1"/>
    <w:rsid w:val="00D6730B"/>
    <w:rsid w:val="00D755E8"/>
    <w:rsid w:val="00D8664F"/>
    <w:rsid w:val="00D94165"/>
    <w:rsid w:val="00DA2B35"/>
    <w:rsid w:val="00DA6196"/>
    <w:rsid w:val="00DA6664"/>
    <w:rsid w:val="00DA6B1D"/>
    <w:rsid w:val="00DB0EF5"/>
    <w:rsid w:val="00DB253A"/>
    <w:rsid w:val="00DB3C2C"/>
    <w:rsid w:val="00DB41CD"/>
    <w:rsid w:val="00DD06FF"/>
    <w:rsid w:val="00DD3A62"/>
    <w:rsid w:val="00DD5A7A"/>
    <w:rsid w:val="00DE4544"/>
    <w:rsid w:val="00DE4835"/>
    <w:rsid w:val="00DE544C"/>
    <w:rsid w:val="00E05104"/>
    <w:rsid w:val="00E12E2E"/>
    <w:rsid w:val="00E13A42"/>
    <w:rsid w:val="00E31DB0"/>
    <w:rsid w:val="00E331A8"/>
    <w:rsid w:val="00E365B1"/>
    <w:rsid w:val="00E36F11"/>
    <w:rsid w:val="00E37E98"/>
    <w:rsid w:val="00E57181"/>
    <w:rsid w:val="00E74DBF"/>
    <w:rsid w:val="00E75265"/>
    <w:rsid w:val="00E7689E"/>
    <w:rsid w:val="00E85457"/>
    <w:rsid w:val="00E97847"/>
    <w:rsid w:val="00EA024A"/>
    <w:rsid w:val="00EA02E1"/>
    <w:rsid w:val="00EB74C9"/>
    <w:rsid w:val="00EC432D"/>
    <w:rsid w:val="00EE1546"/>
    <w:rsid w:val="00EF183A"/>
    <w:rsid w:val="00F009EA"/>
    <w:rsid w:val="00F01C69"/>
    <w:rsid w:val="00F146AA"/>
    <w:rsid w:val="00F17AA3"/>
    <w:rsid w:val="00F21F3E"/>
    <w:rsid w:val="00F35279"/>
    <w:rsid w:val="00F37896"/>
    <w:rsid w:val="00F41685"/>
    <w:rsid w:val="00F42E99"/>
    <w:rsid w:val="00F47D9B"/>
    <w:rsid w:val="00F52943"/>
    <w:rsid w:val="00F61244"/>
    <w:rsid w:val="00F62643"/>
    <w:rsid w:val="00F66342"/>
    <w:rsid w:val="00F753EF"/>
    <w:rsid w:val="00F80A30"/>
    <w:rsid w:val="00FA4115"/>
    <w:rsid w:val="00FB7785"/>
    <w:rsid w:val="00FC0BCB"/>
    <w:rsid w:val="00FC129B"/>
    <w:rsid w:val="00FC5495"/>
    <w:rsid w:val="00FD1A6F"/>
    <w:rsid w:val="00FD4BDF"/>
    <w:rsid w:val="00FE06BA"/>
  </w:rsids>
  <m:mathPr>
    <m:mathFont m:val="Cambria Math"/>
    <m:brkBin m:val="before"/>
    <m:brkBinSub m:val="--"/>
    <m:smallFrac m:val="0"/>
    <m:dispDef/>
    <m:lMargin m:val="0"/>
    <m:rMargin m:val="0"/>
    <m:defJc m:val="centerGroup"/>
    <m:wrapIndent m:val="1440"/>
    <m:intLim m:val="subSup"/>
    <m:naryLim m:val="undOvr"/>
  </m:mathPr>
  <w:themeFontLang w:val="nl-NL"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5449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3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062B57"/>
    <w:rPr>
      <w:color w:val="0000FF"/>
      <w:u w:val="single"/>
    </w:rPr>
  </w:style>
  <w:style w:type="paragraph" w:styleId="CommentText">
    <w:name w:val="annotation text"/>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sid w:val="00062B57"/>
    <w:rPr>
      <w:rFonts w:ascii="Times New Roman" w:eastAsia="Times New Roman" w:hAnsi="Times New Roman" w:cs="Times New Roman"/>
      <w:sz w:val="20"/>
      <w:szCs w:val="20"/>
    </w:rPr>
  </w:style>
  <w:style w:type="character" w:styleId="CommentReference">
    <w:name w:val="annotation reference"/>
    <w:uiPriority w:val="99"/>
    <w:semiHidden/>
    <w:unhideWhenUsed/>
    <w:rPr>
      <w:sz w:val="16"/>
      <w:szCs w:val="16"/>
    </w:rPr>
  </w:style>
  <w:style w:type="paragraph" w:styleId="BalloonText">
    <w:name w:val="Balloon Text"/>
    <w:basedOn w:val="Normal"/>
    <w:link w:val="BalloonTextChar"/>
    <w:uiPriority w:val="99"/>
    <w:semiHidden/>
    <w:unhideWhenUsed/>
    <w:rsid w:val="00062B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2B57"/>
    <w:rPr>
      <w:rFonts w:ascii="Segoe UI" w:hAnsi="Segoe UI" w:cs="Segoe UI"/>
      <w:sz w:val="18"/>
      <w:szCs w:val="18"/>
    </w:rPr>
  </w:style>
  <w:style w:type="table" w:styleId="LightList-Accent3">
    <w:name w:val="Light List Accent 3"/>
    <w:basedOn w:val="TableNormal"/>
    <w:uiPriority w:val="61"/>
    <w:rsid w:val="006750CD"/>
    <w:pPr>
      <w:spacing w:after="0" w:line="240" w:lineRule="auto"/>
    </w:pPr>
    <w:rPr>
      <w:rFonts w:eastAsiaTheme="minorEastAsia"/>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ListParagraph">
    <w:name w:val="List Paragraph"/>
    <w:basedOn w:val="Normal"/>
    <w:uiPriority w:val="34"/>
    <w:qFormat/>
    <w:rsid w:val="000B78A6"/>
    <w:pPr>
      <w:ind w:left="720"/>
      <w:contextualSpacing/>
    </w:pPr>
  </w:style>
  <w:style w:type="paragraph" w:styleId="FootnoteText">
    <w:name w:val="footnote text"/>
    <w:basedOn w:val="Normal"/>
    <w:link w:val="FootnoteTextChar"/>
    <w:uiPriority w:val="99"/>
    <w:semiHidden/>
    <w:unhideWhenUsed/>
    <w:rsid w:val="00DB41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41CD"/>
    <w:rPr>
      <w:sz w:val="20"/>
      <w:szCs w:val="20"/>
    </w:rPr>
  </w:style>
  <w:style w:type="character" w:styleId="FootnoteReference">
    <w:name w:val="footnote reference"/>
    <w:basedOn w:val="DefaultParagraphFont"/>
    <w:uiPriority w:val="99"/>
    <w:semiHidden/>
    <w:unhideWhenUsed/>
    <w:rsid w:val="00DB41CD"/>
    <w:rPr>
      <w:vertAlign w:val="superscript"/>
    </w:rPr>
  </w:style>
  <w:style w:type="paragraph" w:styleId="CommentSubject">
    <w:name w:val="annotation subject"/>
    <w:basedOn w:val="CommentText"/>
    <w:next w:val="CommentText"/>
    <w:link w:val="CommentSubjectChar"/>
    <w:uiPriority w:val="99"/>
    <w:semiHidden/>
    <w:unhideWhenUsed/>
    <w:rsid w:val="00FD1A6F"/>
    <w:rPr>
      <w:b/>
      <w:bCs/>
    </w:rPr>
  </w:style>
  <w:style w:type="character" w:customStyle="1" w:styleId="CommentSubjectChar">
    <w:name w:val="Comment Subject Char"/>
    <w:basedOn w:val="CommentTextChar"/>
    <w:link w:val="CommentSubject"/>
    <w:uiPriority w:val="99"/>
    <w:semiHidden/>
    <w:rsid w:val="00FD1A6F"/>
    <w:rPr>
      <w:rFonts w:ascii="Times New Roman" w:eastAsia="Times New Roman" w:hAnsi="Times New Roman" w:cs="Times New Roman"/>
      <w:b/>
      <w:bCs/>
      <w:sz w:val="20"/>
      <w:szCs w:val="20"/>
    </w:rPr>
  </w:style>
  <w:style w:type="paragraph" w:customStyle="1" w:styleId="Default">
    <w:name w:val="Default"/>
    <w:rsid w:val="00976070"/>
    <w:pPr>
      <w:autoSpaceDE w:val="0"/>
      <w:autoSpaceDN w:val="0"/>
      <w:adjustRightInd w:val="0"/>
      <w:spacing w:after="0" w:line="240" w:lineRule="auto"/>
    </w:pPr>
    <w:rPr>
      <w:rFonts w:ascii="EUAlbertina" w:hAnsi="EUAlbertina" w:cs="EUAlbertina"/>
      <w:color w:val="000000"/>
      <w:sz w:val="24"/>
      <w:szCs w:val="24"/>
    </w:rPr>
  </w:style>
  <w:style w:type="paragraph" w:styleId="Header">
    <w:name w:val="header"/>
    <w:basedOn w:val="Normal"/>
    <w:link w:val="HeaderChar"/>
    <w:uiPriority w:val="99"/>
    <w:unhideWhenUsed/>
    <w:rsid w:val="00B83B0E"/>
    <w:pPr>
      <w:tabs>
        <w:tab w:val="center" w:pos="4536"/>
        <w:tab w:val="right" w:pos="9072"/>
      </w:tabs>
      <w:spacing w:after="0" w:line="240" w:lineRule="auto"/>
    </w:pPr>
  </w:style>
  <w:style w:type="character" w:customStyle="1" w:styleId="HeaderChar">
    <w:name w:val="Header Char"/>
    <w:basedOn w:val="DefaultParagraphFont"/>
    <w:link w:val="Header"/>
    <w:uiPriority w:val="99"/>
    <w:rsid w:val="00B83B0E"/>
  </w:style>
  <w:style w:type="paragraph" w:styleId="Footer">
    <w:name w:val="footer"/>
    <w:basedOn w:val="Normal"/>
    <w:link w:val="FooterChar"/>
    <w:uiPriority w:val="99"/>
    <w:unhideWhenUsed/>
    <w:rsid w:val="00B83B0E"/>
    <w:pPr>
      <w:tabs>
        <w:tab w:val="center" w:pos="4536"/>
        <w:tab w:val="right" w:pos="9072"/>
      </w:tabs>
      <w:spacing w:after="0" w:line="240" w:lineRule="auto"/>
    </w:pPr>
  </w:style>
  <w:style w:type="character" w:customStyle="1" w:styleId="FooterChar">
    <w:name w:val="Footer Char"/>
    <w:basedOn w:val="DefaultParagraphFont"/>
    <w:link w:val="Footer"/>
    <w:uiPriority w:val="99"/>
    <w:rsid w:val="00B83B0E"/>
  </w:style>
  <w:style w:type="table" w:styleId="TableGrid">
    <w:name w:val="Table Grid"/>
    <w:basedOn w:val="TableNormal"/>
    <w:uiPriority w:val="39"/>
    <w:rsid w:val="00AC0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96866"/>
    <w:pPr>
      <w:spacing w:after="0" w:line="240" w:lineRule="auto"/>
    </w:pPr>
  </w:style>
  <w:style w:type="character" w:styleId="FollowedHyperlink">
    <w:name w:val="FollowedHyperlink"/>
    <w:basedOn w:val="DefaultParagraphFont"/>
    <w:uiPriority w:val="99"/>
    <w:semiHidden/>
    <w:unhideWhenUsed/>
    <w:rsid w:val="005607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643196">
      <w:bodyDiv w:val="1"/>
      <w:marLeft w:val="0"/>
      <w:marRight w:val="0"/>
      <w:marTop w:val="0"/>
      <w:marBottom w:val="0"/>
      <w:divBdr>
        <w:top w:val="none" w:sz="0" w:space="0" w:color="auto"/>
        <w:left w:val="none" w:sz="0" w:space="0" w:color="auto"/>
        <w:bottom w:val="none" w:sz="0" w:space="0" w:color="auto"/>
        <w:right w:val="none" w:sz="0" w:space="0" w:color="auto"/>
      </w:divBdr>
      <w:divsChild>
        <w:div w:id="654071584">
          <w:marLeft w:val="0"/>
          <w:marRight w:val="0"/>
          <w:marTop w:val="0"/>
          <w:marBottom w:val="0"/>
          <w:divBdr>
            <w:top w:val="none" w:sz="0" w:space="0" w:color="auto"/>
            <w:left w:val="none" w:sz="0" w:space="0" w:color="auto"/>
            <w:bottom w:val="none" w:sz="0" w:space="0" w:color="auto"/>
            <w:right w:val="none" w:sz="0" w:space="0" w:color="auto"/>
          </w:divBdr>
          <w:divsChild>
            <w:div w:id="67280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087452">
      <w:bodyDiv w:val="1"/>
      <w:marLeft w:val="0"/>
      <w:marRight w:val="0"/>
      <w:marTop w:val="0"/>
      <w:marBottom w:val="0"/>
      <w:divBdr>
        <w:top w:val="none" w:sz="0" w:space="0" w:color="auto"/>
        <w:left w:val="none" w:sz="0" w:space="0" w:color="auto"/>
        <w:bottom w:val="none" w:sz="0" w:space="0" w:color="auto"/>
        <w:right w:val="none" w:sz="0" w:space="0" w:color="auto"/>
      </w:divBdr>
      <w:divsChild>
        <w:div w:id="262232454">
          <w:marLeft w:val="0"/>
          <w:marRight w:val="0"/>
          <w:marTop w:val="0"/>
          <w:marBottom w:val="0"/>
          <w:divBdr>
            <w:top w:val="none" w:sz="0" w:space="0" w:color="auto"/>
            <w:left w:val="none" w:sz="0" w:space="0" w:color="auto"/>
            <w:bottom w:val="none" w:sz="0" w:space="0" w:color="auto"/>
            <w:right w:val="none" w:sz="0" w:space="0" w:color="auto"/>
          </w:divBdr>
          <w:divsChild>
            <w:div w:id="41035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592518">
      <w:bodyDiv w:val="1"/>
      <w:marLeft w:val="0"/>
      <w:marRight w:val="0"/>
      <w:marTop w:val="0"/>
      <w:marBottom w:val="0"/>
      <w:divBdr>
        <w:top w:val="none" w:sz="0" w:space="0" w:color="auto"/>
        <w:left w:val="none" w:sz="0" w:space="0" w:color="auto"/>
        <w:bottom w:val="none" w:sz="0" w:space="0" w:color="auto"/>
        <w:right w:val="none" w:sz="0" w:space="0" w:color="auto"/>
      </w:divBdr>
    </w:div>
    <w:div w:id="665940626">
      <w:bodyDiv w:val="1"/>
      <w:marLeft w:val="0"/>
      <w:marRight w:val="0"/>
      <w:marTop w:val="0"/>
      <w:marBottom w:val="0"/>
      <w:divBdr>
        <w:top w:val="none" w:sz="0" w:space="0" w:color="auto"/>
        <w:left w:val="none" w:sz="0" w:space="0" w:color="auto"/>
        <w:bottom w:val="none" w:sz="0" w:space="0" w:color="auto"/>
        <w:right w:val="none" w:sz="0" w:space="0" w:color="auto"/>
      </w:divBdr>
      <w:divsChild>
        <w:div w:id="1800612941">
          <w:marLeft w:val="0"/>
          <w:marRight w:val="0"/>
          <w:marTop w:val="0"/>
          <w:marBottom w:val="0"/>
          <w:divBdr>
            <w:top w:val="none" w:sz="0" w:space="0" w:color="auto"/>
            <w:left w:val="none" w:sz="0" w:space="0" w:color="auto"/>
            <w:bottom w:val="none" w:sz="0" w:space="0" w:color="auto"/>
            <w:right w:val="none" w:sz="0" w:space="0" w:color="auto"/>
          </w:divBdr>
          <w:divsChild>
            <w:div w:id="206545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020268">
      <w:bodyDiv w:val="1"/>
      <w:marLeft w:val="0"/>
      <w:marRight w:val="0"/>
      <w:marTop w:val="0"/>
      <w:marBottom w:val="0"/>
      <w:divBdr>
        <w:top w:val="none" w:sz="0" w:space="0" w:color="auto"/>
        <w:left w:val="none" w:sz="0" w:space="0" w:color="auto"/>
        <w:bottom w:val="none" w:sz="0" w:space="0" w:color="auto"/>
        <w:right w:val="none" w:sz="0" w:space="0" w:color="auto"/>
      </w:divBdr>
      <w:divsChild>
        <w:div w:id="1096247064">
          <w:marLeft w:val="0"/>
          <w:marRight w:val="0"/>
          <w:marTop w:val="0"/>
          <w:marBottom w:val="0"/>
          <w:divBdr>
            <w:top w:val="none" w:sz="0" w:space="0" w:color="auto"/>
            <w:left w:val="none" w:sz="0" w:space="0" w:color="auto"/>
            <w:bottom w:val="none" w:sz="0" w:space="0" w:color="auto"/>
            <w:right w:val="none" w:sz="0" w:space="0" w:color="auto"/>
          </w:divBdr>
          <w:divsChild>
            <w:div w:id="146422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267272">
      <w:bodyDiv w:val="1"/>
      <w:marLeft w:val="0"/>
      <w:marRight w:val="0"/>
      <w:marTop w:val="0"/>
      <w:marBottom w:val="0"/>
      <w:divBdr>
        <w:top w:val="none" w:sz="0" w:space="0" w:color="auto"/>
        <w:left w:val="none" w:sz="0" w:space="0" w:color="auto"/>
        <w:bottom w:val="none" w:sz="0" w:space="0" w:color="auto"/>
        <w:right w:val="none" w:sz="0" w:space="0" w:color="auto"/>
      </w:divBdr>
      <w:divsChild>
        <w:div w:id="1564026397">
          <w:marLeft w:val="0"/>
          <w:marRight w:val="0"/>
          <w:marTop w:val="0"/>
          <w:marBottom w:val="0"/>
          <w:divBdr>
            <w:top w:val="none" w:sz="0" w:space="0" w:color="auto"/>
            <w:left w:val="none" w:sz="0" w:space="0" w:color="auto"/>
            <w:bottom w:val="none" w:sz="0" w:space="0" w:color="auto"/>
            <w:right w:val="none" w:sz="0" w:space="0" w:color="auto"/>
          </w:divBdr>
          <w:divsChild>
            <w:div w:id="174505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9408">
      <w:bodyDiv w:val="1"/>
      <w:marLeft w:val="0"/>
      <w:marRight w:val="0"/>
      <w:marTop w:val="0"/>
      <w:marBottom w:val="0"/>
      <w:divBdr>
        <w:top w:val="none" w:sz="0" w:space="0" w:color="auto"/>
        <w:left w:val="none" w:sz="0" w:space="0" w:color="auto"/>
        <w:bottom w:val="none" w:sz="0" w:space="0" w:color="auto"/>
        <w:right w:val="none" w:sz="0" w:space="0" w:color="auto"/>
      </w:divBdr>
      <w:divsChild>
        <w:div w:id="1074202180">
          <w:marLeft w:val="0"/>
          <w:marRight w:val="0"/>
          <w:marTop w:val="0"/>
          <w:marBottom w:val="0"/>
          <w:divBdr>
            <w:top w:val="none" w:sz="0" w:space="0" w:color="auto"/>
            <w:left w:val="none" w:sz="0" w:space="0" w:color="auto"/>
            <w:bottom w:val="none" w:sz="0" w:space="0" w:color="auto"/>
            <w:right w:val="none" w:sz="0" w:space="0" w:color="auto"/>
          </w:divBdr>
          <w:divsChild>
            <w:div w:id="177297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NL/TXT/PDF/?uri=CELEX:32014L0065&amp;from=EN" TargetMode="External"/><Relationship Id="rId13" Type="http://schemas.openxmlformats.org/officeDocument/2006/relationships/customXml" Target="../customXml/item2.xml"/><Relationship Id="rId18" Type="http://schemas.openxmlformats.org/officeDocument/2006/relationships/customXml" Target="../customXml/item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openxmlformats.org/officeDocument/2006/relationships/customXml" Target="../customXml/item6.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FM Document" ma:contentTypeID="0x010100AF3C3E63A8E348D0B83574E1B1F453E5003683F2C722160E4197A7E7BAA3FB3FEF" ma:contentTypeVersion="81" ma:contentTypeDescription="Een nieuw document maken." ma:contentTypeScope="" ma:versionID="f7e03c8203a70070dd256c02023f1800">
  <xsd:schema xmlns:xsd="http://www.w3.org/2001/XMLSchema" xmlns:xs="http://www.w3.org/2001/XMLSchema" xmlns:p="http://schemas.microsoft.com/office/2006/metadata/properties" xmlns:ns1="http://schemas.microsoft.com/sharepoint/v3" xmlns:ns3="936c9f6d-703f-4492-b10b-5967c53212d1" xmlns:ns4="7e63132b-4ebf-45ff-bece-f1cd0400eedc" targetNamespace="http://schemas.microsoft.com/office/2006/metadata/properties" ma:root="true" ma:fieldsID="50309a8c7245e12a384b71c3a8781585" ns1:_="" ns3:_="" ns4:_="">
    <xsd:import namespace="http://schemas.microsoft.com/sharepoint/v3"/>
    <xsd:import namespace="936c9f6d-703f-4492-b10b-5967c53212d1"/>
    <xsd:import namespace="7e63132b-4ebf-45ff-bece-f1cd0400eedc"/>
    <xsd:element name="properties">
      <xsd:complexType>
        <xsd:sequence>
          <xsd:element name="documentManagement">
            <xsd:complexType>
              <xsd:all>
                <xsd:element ref="ns3:Jaar" minOccurs="0"/>
                <xsd:element ref="ns3:LL_subfolder_1" minOccurs="0"/>
                <xsd:element ref="ns3:LL_subfolder_2" minOccurs="0"/>
                <xsd:element ref="ns3:LL_subfolder_3" minOccurs="0"/>
                <xsd:element ref="ns3:LL_subfolder_4" minOccurs="0"/>
                <xsd:element ref="ns3:LL_subfolder_5" minOccurs="0"/>
                <xsd:element ref="ns3:TaxKeywordTaxHTField" minOccurs="0"/>
                <xsd:element ref="ns3:TaxCatchAll" minOccurs="0"/>
                <xsd:element ref="ns3:TaxCatchAllLabel" minOccurs="0"/>
                <xsd:element ref="ns1:_dlc_Exempt"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9" nillable="true" ma:displayName="Van beleid uitgeslote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6c9f6d-703f-4492-b10b-5967c53212d1" elementFormDefault="qualified">
    <xsd:import namespace="http://schemas.microsoft.com/office/2006/documentManagement/types"/>
    <xsd:import namespace="http://schemas.microsoft.com/office/infopath/2007/PartnerControls"/>
    <xsd:element name="Jaar" ma:index="3" nillable="true" ma:displayName="Jaar" ma:internalName="Jaar">
      <xsd:simpleType>
        <xsd:restriction base="dms:Text">
          <xsd:maxLength value="4"/>
        </xsd:restriction>
      </xsd:simpleType>
    </xsd:element>
    <xsd:element name="LL_subfolder_1" ma:index="5" nillable="true" ma:displayName="LL subfolder 1" ma:internalName="LL_subfolder_1" ma:readOnly="false">
      <xsd:simpleType>
        <xsd:restriction base="dms:Text">
          <xsd:maxLength value="255"/>
        </xsd:restriction>
      </xsd:simpleType>
    </xsd:element>
    <xsd:element name="LL_subfolder_2" ma:index="6" nillable="true" ma:displayName="LL subfolder 2" ma:internalName="LL_subfolder_2" ma:readOnly="false">
      <xsd:simpleType>
        <xsd:restriction base="dms:Text"/>
      </xsd:simpleType>
    </xsd:element>
    <xsd:element name="LL_subfolder_3" ma:index="7" nillable="true" ma:displayName="LL subfolder 3" ma:internalName="LL_subfolder_3" ma:readOnly="false">
      <xsd:simpleType>
        <xsd:restriction base="dms:Text"/>
      </xsd:simpleType>
    </xsd:element>
    <xsd:element name="LL_subfolder_4" ma:index="8" nillable="true" ma:displayName="LL subfolder 4" ma:internalName="LL_subfolder_4" ma:readOnly="false">
      <xsd:simpleType>
        <xsd:restriction base="dms:Text"/>
      </xsd:simpleType>
    </xsd:element>
    <xsd:element name="LL_subfolder_5" ma:index="9" nillable="true" ma:displayName="LL subfolder 5" ma:internalName="LL_subfolder_5" ma:readOnly="false">
      <xsd:simpleType>
        <xsd:restriction base="dms:Text"/>
      </xsd:simpleType>
    </xsd:element>
    <xsd:element name="TaxKeywordTaxHTField" ma:index="15" nillable="true" ma:taxonomy="true" ma:internalName="TaxKeywordTaxHTField" ma:taxonomyFieldName="TaxKeyword" ma:displayName="Ondernemingstrefwoorden" ma:fieldId="{23f27201-bee3-471e-b2e7-b64fd8b7ca38}" ma:taxonomyMulti="true" ma:sspId="1a17d7f3-a02c-4e88-b87b-9e831c62902c" ma:termSetId="00000000-0000-0000-0000-000000000000" ma:anchorId="00000000-0000-0000-0000-000000000000" ma:open="true" ma:isKeyword="true">
      <xsd:complexType>
        <xsd:sequence>
          <xsd:element ref="pc:Terms" minOccurs="0" maxOccurs="1"/>
        </xsd:sequence>
      </xsd:complexType>
    </xsd:element>
    <xsd:element name="TaxCatchAll" ma:index="16" nillable="true" ma:displayName="Taxonomy Catch All Column" ma:description="" ma:hidden="true" ma:list="{c6fc0e6c-b325-4e30-94f9-a3bf18a9a36a}" ma:internalName="TaxCatchAll" ma:showField="CatchAllData" ma:web="7e63132b-4ebf-45ff-bece-f1cd0400eedc">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hidden="true" ma:list="{c6fc0e6c-b325-4e30-94f9-a3bf18a9a36a}" ma:internalName="TaxCatchAllLabel" ma:readOnly="true" ma:showField="CatchAllDataLabel" ma:web="7e63132b-4ebf-45ff-bece-f1cd0400eed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63132b-4ebf-45ff-bece-f1cd0400eedc" elementFormDefault="qualified">
    <xsd:import namespace="http://schemas.microsoft.com/office/2006/documentManagement/types"/>
    <xsd:import namespace="http://schemas.microsoft.com/office/infopath/2007/PartnerControls"/>
    <xsd:element name="_dlc_DocId" ma:index="20" nillable="true" ma:displayName="Waarde van de document-id" ma:description="De waarde van de document-id die aan dit item is toegewezen." ma:internalName="_dlc_DocId" ma:readOnly="true">
      <xsd:simpleType>
        <xsd:restriction base="dms:Text"/>
      </xsd:simpleType>
    </xsd:element>
    <xsd:element name="_dlc_DocIdUrl" ma:index="21"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index="13"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1a17d7f3-a02c-4e88-b87b-9e831c62902c" ContentTypeId="0x010100AF3C3E63A8E348D0B83574E1B1F453E5" PreviousValue="false"/>
</file>

<file path=customXml/item4.xml><?xml version="1.0" encoding="utf-8"?>
<?mso-contentType ?>
<p:Policy xmlns:p="office.server.policy" id="" local="true">
  <p:Name>AFM Document</p:Name>
  <p:Description/>
  <p:Statement/>
  <p:PolicyItems>
    <p:PolicyItem featureId="Microsoft.Office.RecordsManagement.PolicyFeatures.PolicyAudit" staticId="0x010100AF3C3E63A8E348D0B83574E1B1F453E5|8138272" UniqueId="b847960f-7d6d-4c57-be37-bd2dfa15816b">
      <p:Name>Controle</p:Name>
      <p:Description>Hiermee worden acties van gebruikers op documenten en lijstitems gecontroleerd en in het controlelogbestand opgenomen.</p:Description>
      <p:CustomData>
        <Audit>
          <Update/>
          <View/>
          <CheckInOut/>
          <MoveCopy/>
          <DeleteRestore/>
        </Audit>
      </p:CustomData>
    </p:PolicyItem>
  </p:PolicyItems>
</p:Policy>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LL_subfolder_1 xmlns="936c9f6d-703f-4492-b10b-5967c53212d1" xsi:nil="true"/>
    <LL_subfolder_4 xmlns="936c9f6d-703f-4492-b10b-5967c53212d1" xsi:nil="true"/>
    <_dlc_DocId xmlns="7e63132b-4ebf-45ff-bece-f1cd0400eedc">AFMAFD-1354918341-61</_dlc_DocId>
    <TaxCatchAll xmlns="936c9f6d-703f-4492-b10b-5967c53212d1"/>
    <LL_subfolder_2 xmlns="936c9f6d-703f-4492-b10b-5967c53212d1" xsi:nil="true"/>
    <TaxKeywordTaxHTField xmlns="936c9f6d-703f-4492-b10b-5967c53212d1">
      <Terms xmlns="http://schemas.microsoft.com/office/infopath/2007/PartnerControls"/>
    </TaxKeywordTaxHTField>
    <LL_subfolder_5 xmlns="936c9f6d-703f-4492-b10b-5967c53212d1" xsi:nil="true"/>
    <LL_subfolder_3 xmlns="936c9f6d-703f-4492-b10b-5967c53212d1" xsi:nil="true"/>
    <_dlc_DocIdUrl xmlns="7e63132b-4ebf-45ff-bece-f1cd0400eedc">
      <Url>http://dms.stelan.nl/sites/Afdelingen/am/pw/_layouts/15/DocIdRedir.aspx?ID=AFMAFD-1354918341-61</Url>
      <Description>AFMAFD-1354918341-61</Description>
    </_dlc_DocIdUrl>
    <Jaar xmlns="936c9f6d-703f-4492-b10b-5967c53212d1" xsi:nil="true"/>
  </documentManagement>
</p:properties>
</file>

<file path=customXml/itemProps1.xml><?xml version="1.0" encoding="utf-8"?>
<ds:datastoreItem xmlns:ds="http://schemas.openxmlformats.org/officeDocument/2006/customXml" ds:itemID="{A71033C1-B41C-4885-94A2-6CFD84898388}">
  <ds:schemaRefs>
    <ds:schemaRef ds:uri="http://schemas.openxmlformats.org/officeDocument/2006/bibliography"/>
  </ds:schemaRefs>
</ds:datastoreItem>
</file>

<file path=customXml/itemProps2.xml><?xml version="1.0" encoding="utf-8"?>
<ds:datastoreItem xmlns:ds="http://schemas.openxmlformats.org/officeDocument/2006/customXml" ds:itemID="{2C958964-5598-4FAF-AB6C-D8C6DFA55CF1}"/>
</file>

<file path=customXml/itemProps3.xml><?xml version="1.0" encoding="utf-8"?>
<ds:datastoreItem xmlns:ds="http://schemas.openxmlformats.org/officeDocument/2006/customXml" ds:itemID="{C8560FC7-1DE2-49E1-955D-878A27BFD65C}"/>
</file>

<file path=customXml/itemProps4.xml><?xml version="1.0" encoding="utf-8"?>
<ds:datastoreItem xmlns:ds="http://schemas.openxmlformats.org/officeDocument/2006/customXml" ds:itemID="{638418DA-B3D8-44CF-85BF-C315A6F2740B}"/>
</file>

<file path=customXml/itemProps5.xml><?xml version="1.0" encoding="utf-8"?>
<ds:datastoreItem xmlns:ds="http://schemas.openxmlformats.org/officeDocument/2006/customXml" ds:itemID="{7CBDC0AA-1833-4029-9B6C-D230770E2795}"/>
</file>

<file path=customXml/itemProps6.xml><?xml version="1.0" encoding="utf-8"?>
<ds:datastoreItem xmlns:ds="http://schemas.openxmlformats.org/officeDocument/2006/customXml" ds:itemID="{64B9C418-030D-4A81-973B-DE01332EBE55}"/>
</file>

<file path=customXml/itemProps7.xml><?xml version="1.0" encoding="utf-8"?>
<ds:datastoreItem xmlns:ds="http://schemas.openxmlformats.org/officeDocument/2006/customXml" ds:itemID="{461BAF61-D504-4B15-B9A7-1811123484DD}"/>
</file>

<file path=docProps/app.xml><?xml version="1.0" encoding="utf-8"?>
<Properties xmlns="http://schemas.openxmlformats.org/officeDocument/2006/extended-properties" xmlns:vt="http://schemas.openxmlformats.org/officeDocument/2006/docPropsVTypes">
  <Template>Normal</Template>
  <TotalTime>0</TotalTime>
  <Pages>18</Pages>
  <Words>3618</Words>
  <Characters>19904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2021-11-16T13:19:00Z</dcterms:created>
  <dcterms:modified xsi:type="dcterms:W3CDTF">2021-11-16T13:20:00Z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cesHTField0">
    <vt:lpwstr/>
  </property>
  <property fmtid="{D5CDD505-2E9C-101B-9397-08002B2CF9AE}" pid="3" name="TaxKeyword">
    <vt:lpwstr/>
  </property>
  <property fmtid="{D5CDD505-2E9C-101B-9397-08002B2CF9AE}" pid="4" name="Kanaal">
    <vt:lpwstr/>
  </property>
  <property fmtid="{D5CDD505-2E9C-101B-9397-08002B2CF9AE}" pid="5" name="_dlc_policyId">
    <vt:lpwstr/>
  </property>
  <property fmtid="{D5CDD505-2E9C-101B-9397-08002B2CF9AE}" pid="6" name="xd_Signature">
    <vt:bool>false</vt:bool>
  </property>
  <property fmtid="{D5CDD505-2E9C-101B-9397-08002B2CF9AE}" pid="7" name="xd_ProgID">
    <vt:lpwstr/>
  </property>
  <property fmtid="{D5CDD505-2E9C-101B-9397-08002B2CF9AE}" pid="8" name="Toezichtstaak">
    <vt:lpwstr/>
  </property>
  <property fmtid="{D5CDD505-2E9C-101B-9397-08002B2CF9AE}" pid="9" name="ContentTypeId">
    <vt:lpwstr>0x010100AF3C3E63A8E348D0B83574E1B1F453E5003683F2C722160E4197A7E7BAA3FB3FEF</vt:lpwstr>
  </property>
  <property fmtid="{D5CDD505-2E9C-101B-9397-08002B2CF9AE}" pid="10" name="ProcesTaxHTField0">
    <vt:lpwstr/>
  </property>
  <property fmtid="{D5CDD505-2E9C-101B-9397-08002B2CF9AE}" pid="11" name="ToezichtstaakHTField0">
    <vt:lpwstr/>
  </property>
  <property fmtid="{D5CDD505-2E9C-101B-9397-08002B2CF9AE}" pid="12" name="ItemRetentionFormula">
    <vt:lpwstr/>
  </property>
  <property fmtid="{D5CDD505-2E9C-101B-9397-08002B2CF9AE}" pid="13" name="TemplateUrl">
    <vt:lpwstr/>
  </property>
  <property fmtid="{D5CDD505-2E9C-101B-9397-08002B2CF9AE}" pid="14" name="Documenttype">
    <vt:lpwstr/>
  </property>
  <property fmtid="{D5CDD505-2E9C-101B-9397-08002B2CF9AE}" pid="15" name="OrganisatieonderdeelHTField0">
    <vt:lpwstr/>
  </property>
  <property fmtid="{D5CDD505-2E9C-101B-9397-08002B2CF9AE}" pid="16" name="_dlc_DocIdItemGuid">
    <vt:lpwstr>5d89551e-f930-4efd-9723-329d3f0689b7</vt:lpwstr>
  </property>
  <property fmtid="{D5CDD505-2E9C-101B-9397-08002B2CF9AE}" pid="17" name="Organisatieonderdeel">
    <vt:lpwstr/>
  </property>
  <property fmtid="{D5CDD505-2E9C-101B-9397-08002B2CF9AE}" pid="18" name="OrganisatieonderdeelTaxHTField0">
    <vt:lpwstr/>
  </property>
  <property fmtid="{D5CDD505-2E9C-101B-9397-08002B2CF9AE}" pid="19" name="Proces">
    <vt:lpwstr/>
  </property>
  <property fmtid="{D5CDD505-2E9C-101B-9397-08002B2CF9AE}" pid="20" name="DocumenttypeHTField0">
    <vt:lpwstr/>
  </property>
  <property fmtid="{D5CDD505-2E9C-101B-9397-08002B2CF9AE}" pid="21" name="KanaalHTField0">
    <vt:lpwstr/>
  </property>
  <property fmtid="{D5CDD505-2E9C-101B-9397-08002B2CF9AE}" pid="22" name="OmschrijvingNote">
    <vt:lpwstr>geen inhoudelijke wijziging. alleen correctie taalfout</vt:lpwstr>
  </property>
  <property fmtid="{D5CDD505-2E9C-101B-9397-08002B2CF9AE}" pid="23" name="DocumenttypeTaxHTField0">
    <vt:lpwstr/>
  </property>
  <property fmtid="{D5CDD505-2E9C-101B-9397-08002B2CF9AE}" pid="24" name="ToezichtstaakTaxHTField0">
    <vt:lpwstr/>
  </property>
  <property fmtid="{D5CDD505-2E9C-101B-9397-08002B2CF9AE}" pid="25" name="KanaalTaxHTField0">
    <vt:lpwstr/>
  </property>
</Properties>
</file>